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FAEB7" w14:textId="1D8EF5DC" w:rsidR="00215833" w:rsidRPr="005C0E3F" w:rsidRDefault="003A3777" w:rsidP="00215833">
      <w:pPr>
        <w:spacing w:after="0" w:line="240" w:lineRule="auto"/>
        <w:jc w:val="center"/>
        <w:rPr>
          <w:rFonts w:ascii="Times New Roman" w:eastAsia="Calibri" w:hAnsi="Times New Roman" w:cs="Times New Roman"/>
          <w:b/>
          <w:kern w:val="0"/>
          <w:sz w:val="25"/>
          <w:szCs w:val="25"/>
          <w14:ligatures w14:val="none"/>
        </w:rPr>
      </w:pPr>
      <w:bookmarkStart w:id="0" w:name="_Toc167914354"/>
      <w:r w:rsidRPr="005C0E3F">
        <w:rPr>
          <w:rFonts w:ascii="Times New Roman" w:eastAsia="Calibri" w:hAnsi="Times New Roman" w:cs="Times New Roman"/>
          <w:b/>
          <w:kern w:val="0"/>
          <w:sz w:val="25"/>
          <w:szCs w:val="25"/>
          <w:lang w:val="fr"/>
          <w14:ligatures w14:val="none"/>
        </w:rPr>
        <w:t xml:space="preserve">Assistance technique pour </w:t>
      </w:r>
      <w:r w:rsidRPr="005C0E3F">
        <w:rPr>
          <w:rFonts w:ascii="Times New Roman" w:eastAsia="Calibri" w:hAnsi="Times New Roman" w:cs="Times New Roman"/>
          <w:b/>
          <w:kern w:val="0"/>
          <w:sz w:val="25"/>
          <w:szCs w:val="25"/>
          <w14:ligatures w14:val="none"/>
        </w:rPr>
        <w:t xml:space="preserve">l’étude de faisabilité, des études d’avant-projet sommaire, d’avant-projet détaillé et de l’élaboration des dossiers d’appel d’offres du </w:t>
      </w:r>
      <w:r w:rsidR="00A92883" w:rsidRPr="005C0E3F">
        <w:rPr>
          <w:rFonts w:ascii="Times New Roman" w:eastAsia="Calibri" w:hAnsi="Times New Roman" w:cs="Times New Roman"/>
          <w:b/>
          <w:kern w:val="0"/>
          <w:sz w:val="25"/>
          <w:szCs w:val="25"/>
          <w14:ligatures w14:val="none"/>
        </w:rPr>
        <w:t>Programme de Développement de la Zone Agro-industrielle et Portuaire de Maradi (PROZAP-MARADI)</w:t>
      </w:r>
    </w:p>
    <w:p w14:paraId="2B9EA2B3" w14:textId="77777777" w:rsidR="005C0E3F" w:rsidRDefault="005C0E3F" w:rsidP="00215833">
      <w:pPr>
        <w:spacing w:after="0" w:line="240" w:lineRule="auto"/>
        <w:jc w:val="center"/>
        <w:rPr>
          <w:rFonts w:ascii="Times New Roman" w:eastAsia="Calibri" w:hAnsi="Times New Roman" w:cs="Times New Roman"/>
          <w:b/>
          <w:kern w:val="0"/>
          <w:sz w:val="24"/>
          <w:szCs w:val="24"/>
          <w14:ligatures w14:val="none"/>
        </w:rPr>
      </w:pPr>
    </w:p>
    <w:p w14:paraId="3629E724" w14:textId="3EC1CB3C" w:rsidR="00A92883" w:rsidRPr="00215833" w:rsidRDefault="00A92883" w:rsidP="00215833">
      <w:pPr>
        <w:spacing w:after="0" w:line="240" w:lineRule="auto"/>
        <w:jc w:val="center"/>
        <w:rPr>
          <w:rFonts w:ascii="Times New Roman" w:eastAsia="Calibri" w:hAnsi="Times New Roman" w:cs="Times New Roman"/>
          <w:b/>
          <w:kern w:val="0"/>
          <w:sz w:val="24"/>
          <w:szCs w:val="24"/>
          <w14:ligatures w14:val="none"/>
        </w:rPr>
      </w:pPr>
      <w:r w:rsidRPr="005C0E3F">
        <w:rPr>
          <w:rFonts w:ascii="Times New Roman" w:eastAsia="Calibri" w:hAnsi="Times New Roman" w:cs="Times New Roman"/>
          <w:b/>
          <w:kern w:val="0"/>
          <w:sz w:val="24"/>
          <w:szCs w:val="24"/>
          <w14:ligatures w14:val="none"/>
        </w:rPr>
        <w:t>Code SAP :</w:t>
      </w:r>
      <w:r>
        <w:rPr>
          <w:rFonts w:ascii="Times New Roman" w:eastAsia="Calibri" w:hAnsi="Times New Roman" w:cs="Times New Roman"/>
          <w:b/>
          <w:kern w:val="0"/>
          <w:sz w:val="24"/>
          <w:szCs w:val="24"/>
          <w14:ligatures w14:val="none"/>
        </w:rPr>
        <w:t xml:space="preserve"> </w:t>
      </w:r>
      <w:sdt>
        <w:sdtPr>
          <w:rPr>
            <w:rFonts w:ascii="Times New Roman" w:eastAsia="Calibri" w:hAnsi="Times New Roman" w:cs="Times New Roman"/>
            <w:b/>
            <w:kern w:val="0"/>
            <w:sz w:val="24"/>
            <w:szCs w:val="24"/>
            <w:lang w:val="fr"/>
            <w14:ligatures w14:val="none"/>
          </w:rPr>
          <w:alias w:val="Tapez le code SAP/TFMS"/>
          <w:tag w:val="Tapez le code SAP/TFMS"/>
          <w:id w:val="1410044348"/>
          <w:placeholder>
            <w:docPart w:val="4C3E9EE6DFE74F2E83270599822AFF48"/>
          </w:placeholder>
          <w15:color w:val="008000"/>
        </w:sdtPr>
        <w:sdtContent>
          <w:r w:rsidR="009B4413" w:rsidRPr="009B4413">
            <w:rPr>
              <w:rFonts w:ascii="Times New Roman" w:eastAsia="Calibri" w:hAnsi="Times New Roman" w:cs="Times New Roman"/>
              <w:b/>
              <w:bCs/>
              <w:kern w:val="0"/>
              <w:sz w:val="24"/>
              <w:szCs w:val="24"/>
              <w:lang w:val="fr"/>
              <w14:ligatures w14:val="none"/>
            </w:rPr>
            <w:t>G-NE-K00-STY-001</w:t>
          </w:r>
        </w:sdtContent>
      </w:sdt>
    </w:p>
    <w:p w14:paraId="32EE7893" w14:textId="77777777" w:rsidR="00215833" w:rsidRPr="00215833" w:rsidRDefault="00215833" w:rsidP="00215833">
      <w:pPr>
        <w:spacing w:after="0" w:line="240" w:lineRule="auto"/>
        <w:jc w:val="center"/>
        <w:rPr>
          <w:rFonts w:ascii="Times New Roman" w:eastAsia="Calibri" w:hAnsi="Times New Roman" w:cs="Times New Roman"/>
          <w:b/>
          <w:kern w:val="0"/>
          <w:sz w:val="24"/>
          <w:szCs w:val="24"/>
          <w14:ligatures w14:val="none"/>
        </w:rPr>
      </w:pPr>
    </w:p>
    <w:p w14:paraId="01946DEE" w14:textId="55720FC2" w:rsidR="00215833" w:rsidRPr="00215833" w:rsidRDefault="00215833" w:rsidP="00215833">
      <w:pPr>
        <w:spacing w:after="0" w:line="240" w:lineRule="auto"/>
        <w:jc w:val="center"/>
        <w:rPr>
          <w:rFonts w:ascii="Times New Roman" w:eastAsia="Calibri" w:hAnsi="Times New Roman" w:cs="Times New Roman"/>
          <w:b/>
          <w:kern w:val="0"/>
          <w:sz w:val="24"/>
          <w:szCs w:val="24"/>
          <w14:ligatures w14:val="none"/>
        </w:rPr>
      </w:pPr>
      <w:r w:rsidRPr="00215833">
        <w:rPr>
          <w:rFonts w:ascii="Times New Roman" w:eastAsia="Calibri" w:hAnsi="Times New Roman" w:cs="Times New Roman"/>
          <w:b/>
          <w:kern w:val="0"/>
          <w:sz w:val="24"/>
          <w:szCs w:val="24"/>
          <w14:ligatures w14:val="none"/>
        </w:rPr>
        <w:t>Plan de Gestion Environnemental</w:t>
      </w:r>
      <w:r w:rsidR="009B4413">
        <w:rPr>
          <w:rFonts w:ascii="Times New Roman" w:eastAsia="Calibri" w:hAnsi="Times New Roman" w:cs="Times New Roman"/>
          <w:b/>
          <w:kern w:val="0"/>
          <w:sz w:val="24"/>
          <w:szCs w:val="24"/>
          <w14:ligatures w14:val="none"/>
        </w:rPr>
        <w:t>e</w:t>
      </w:r>
      <w:r w:rsidRPr="00215833">
        <w:rPr>
          <w:rFonts w:ascii="Times New Roman" w:eastAsia="Calibri" w:hAnsi="Times New Roman" w:cs="Times New Roman"/>
          <w:b/>
          <w:kern w:val="0"/>
          <w:sz w:val="24"/>
          <w:szCs w:val="24"/>
          <w14:ligatures w14:val="none"/>
        </w:rPr>
        <w:t xml:space="preserve"> &amp; Social</w:t>
      </w:r>
      <w:r w:rsidR="009B4413">
        <w:rPr>
          <w:rFonts w:ascii="Times New Roman" w:eastAsia="Calibri" w:hAnsi="Times New Roman" w:cs="Times New Roman"/>
          <w:b/>
          <w:kern w:val="0"/>
          <w:sz w:val="24"/>
          <w:szCs w:val="24"/>
          <w14:ligatures w14:val="none"/>
        </w:rPr>
        <w:t>e</w:t>
      </w:r>
      <w:r w:rsidRPr="00215833">
        <w:rPr>
          <w:rFonts w:ascii="Times New Roman" w:eastAsia="Calibri" w:hAnsi="Times New Roman" w:cs="Times New Roman"/>
          <w:b/>
          <w:kern w:val="0"/>
          <w:sz w:val="24"/>
          <w:szCs w:val="24"/>
          <w14:ligatures w14:val="none"/>
        </w:rPr>
        <w:t xml:space="preserve">  </w:t>
      </w:r>
    </w:p>
    <w:p w14:paraId="364A04B9" w14:textId="77777777" w:rsidR="00215833" w:rsidRPr="00215833" w:rsidRDefault="00215833" w:rsidP="00215833">
      <w:pPr>
        <w:spacing w:after="0" w:line="240" w:lineRule="auto"/>
        <w:jc w:val="center"/>
        <w:rPr>
          <w:rFonts w:ascii="Times New Roman" w:eastAsia="Calibri" w:hAnsi="Times New Roman" w:cs="Times New Roman"/>
          <w:b/>
          <w:kern w:val="0"/>
          <w:sz w:val="24"/>
          <w:szCs w:val="24"/>
          <w14:ligatures w14:val="none"/>
        </w:rPr>
      </w:pPr>
      <w:r w:rsidRPr="00215833">
        <w:rPr>
          <w:rFonts w:ascii="Times New Roman" w:eastAsia="Calibri" w:hAnsi="Times New Roman" w:cs="Times New Roman"/>
          <w:b/>
          <w:kern w:val="0"/>
          <w:sz w:val="24"/>
          <w:szCs w:val="24"/>
          <w14:ligatures w14:val="none"/>
        </w:rPr>
        <w:t xml:space="preserve"> (PGES) </w:t>
      </w:r>
    </w:p>
    <w:p w14:paraId="50A40F10" w14:textId="77777777" w:rsidR="00215833" w:rsidRPr="00215833" w:rsidRDefault="00215833" w:rsidP="00215833">
      <w:pPr>
        <w:spacing w:after="0" w:line="240" w:lineRule="auto"/>
        <w:jc w:val="center"/>
        <w:rPr>
          <w:rFonts w:ascii="Times New Roman" w:eastAsia="Calibri" w:hAnsi="Times New Roman" w:cs="Times New Roman"/>
          <w:b/>
          <w:kern w:val="0"/>
          <w:sz w:val="24"/>
          <w:szCs w:val="24"/>
          <w14:ligatures w14:val="none"/>
        </w:rPr>
      </w:pPr>
    </w:p>
    <w:p w14:paraId="56EBFFCF" w14:textId="77777777" w:rsidR="00215833" w:rsidRPr="00215833" w:rsidRDefault="00215833" w:rsidP="00215833">
      <w:pPr>
        <w:spacing w:after="0" w:line="240" w:lineRule="auto"/>
        <w:jc w:val="center"/>
        <w:rPr>
          <w:rFonts w:ascii="Times New Roman" w:eastAsia="Calibri" w:hAnsi="Times New Roman" w:cs="Times New Roman"/>
          <w:b/>
          <w:kern w:val="0"/>
          <w:sz w:val="24"/>
          <w:szCs w:val="24"/>
          <w14:ligatures w14:val="none"/>
        </w:rPr>
      </w:pPr>
    </w:p>
    <w:p w14:paraId="36C18DCE" w14:textId="77777777" w:rsidR="00215833" w:rsidRPr="00215833" w:rsidRDefault="00215833" w:rsidP="00215833">
      <w:pPr>
        <w:spacing w:after="0" w:line="240" w:lineRule="auto"/>
        <w:jc w:val="center"/>
        <w:rPr>
          <w:rFonts w:ascii="Times New Roman" w:eastAsia="Calibri" w:hAnsi="Times New Roman" w:cs="Times New Roman"/>
          <w:kern w:val="0"/>
          <w:sz w:val="44"/>
          <w14:ligatures w14:val="none"/>
        </w:rPr>
      </w:pPr>
      <w:r w:rsidRPr="00215833">
        <w:rPr>
          <w:rFonts w:ascii="Times New Roman" w:eastAsia="Calibri" w:hAnsi="Times New Roman" w:cs="Times New Roman"/>
          <w:b/>
          <w:kern w:val="0"/>
          <w:sz w:val="24"/>
          <w:szCs w:val="24"/>
          <w14:ligatures w14:val="none"/>
        </w:rPr>
        <w:t>Appendice de l’Accord juridique</w:t>
      </w:r>
    </w:p>
    <w:p w14:paraId="3A69D700" w14:textId="77777777" w:rsidR="00215833" w:rsidRPr="00215833" w:rsidRDefault="00215833" w:rsidP="00215833">
      <w:pPr>
        <w:spacing w:after="0" w:line="240" w:lineRule="auto"/>
        <w:jc w:val="center"/>
        <w:rPr>
          <w:rFonts w:ascii="Times New Roman" w:eastAsia="Calibri" w:hAnsi="Times New Roman" w:cs="Times New Roman"/>
          <w:kern w:val="0"/>
          <w:sz w:val="44"/>
          <w14:ligatures w14:val="none"/>
        </w:rPr>
      </w:pPr>
    </w:p>
    <w:p w14:paraId="0969F990" w14:textId="77777777" w:rsidR="00215833" w:rsidRPr="00215833" w:rsidRDefault="00215833" w:rsidP="00215833">
      <w:pPr>
        <w:spacing w:after="0" w:line="240" w:lineRule="auto"/>
        <w:jc w:val="center"/>
        <w:rPr>
          <w:rFonts w:ascii="Times New Roman" w:eastAsia="Calibri" w:hAnsi="Times New Roman" w:cs="Times New Roman"/>
          <w:kern w:val="0"/>
          <w:sz w:val="44"/>
          <w14:ligatures w14:val="none"/>
        </w:rPr>
      </w:pPr>
      <w:r w:rsidRPr="00215833">
        <w:rPr>
          <w:rFonts w:ascii="Times New Roman" w:eastAsia="Calibri" w:hAnsi="Times New Roman" w:cs="Times New Roman"/>
          <w:b/>
          <w:kern w:val="0"/>
          <w14:ligatures w14:val="none"/>
        </w:rPr>
        <w:t xml:space="preserve">Considérations Générales </w:t>
      </w:r>
    </w:p>
    <w:p w14:paraId="4197C5A1" w14:textId="77777777" w:rsidR="00215833" w:rsidRPr="00215833" w:rsidRDefault="00215833" w:rsidP="00215833">
      <w:pPr>
        <w:spacing w:after="0" w:line="240" w:lineRule="auto"/>
        <w:jc w:val="center"/>
        <w:rPr>
          <w:rFonts w:ascii="Times New Roman" w:eastAsia="Calibri" w:hAnsi="Times New Roman" w:cs="Times New Roman"/>
          <w:b/>
          <w:i/>
          <w:iCs/>
          <w:kern w:val="0"/>
          <w14:ligatures w14:val="none"/>
        </w:rPr>
      </w:pPr>
    </w:p>
    <w:p w14:paraId="768593CB" w14:textId="0073918D" w:rsidR="00215833" w:rsidRPr="00215833" w:rsidRDefault="007852AD" w:rsidP="00215833">
      <w:pPr>
        <w:numPr>
          <w:ilvl w:val="0"/>
          <w:numId w:val="1"/>
        </w:numPr>
        <w:spacing w:after="24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La République du Niger</w:t>
      </w:r>
      <w:r w:rsidR="00A92883">
        <w:rPr>
          <w:rFonts w:ascii="Times New Roman" w:eastAsia="Calibri" w:hAnsi="Times New Roman" w:cs="Times New Roman"/>
          <w:kern w:val="0"/>
          <w14:ligatures w14:val="none"/>
        </w:rPr>
        <w:t xml:space="preserve">, </w:t>
      </w:r>
      <w:r w:rsidR="00A92883" w:rsidRPr="00A92883">
        <w:rPr>
          <w:rFonts w:ascii="Times New Roman" w:eastAsia="Calibri" w:hAnsi="Times New Roman" w:cs="Times New Roman"/>
          <w:kern w:val="0"/>
          <w14:ligatures w14:val="none"/>
        </w:rPr>
        <w:t>en qualité d’Emprunteur/Client,</w:t>
      </w:r>
      <w:r w:rsidR="00A92883" w:rsidRPr="00A92883" w:rsidDel="00A92883">
        <w:rPr>
          <w:rFonts w:ascii="Times New Roman" w:eastAsia="Calibri" w:hAnsi="Times New Roman" w:cs="Times New Roman"/>
          <w:kern w:val="0"/>
          <w14:ligatures w14:val="none"/>
        </w:rPr>
        <w:t xml:space="preserve"> </w:t>
      </w:r>
      <w:r w:rsidR="00215833" w:rsidRPr="00215833">
        <w:rPr>
          <w:rFonts w:ascii="Times New Roman" w:eastAsia="Calibri" w:hAnsi="Times New Roman" w:cs="Times New Roman"/>
          <w:kern w:val="0"/>
          <w14:ligatures w14:val="none"/>
        </w:rPr>
        <w:t>prévoit de mettre en œuvre</w:t>
      </w:r>
      <w:r w:rsidR="00162144" w:rsidRPr="00162144">
        <w:t xml:space="preserve"> </w:t>
      </w:r>
      <w:r w:rsidR="00162144" w:rsidRPr="00162144">
        <w:rPr>
          <w:rFonts w:ascii="Times New Roman" w:eastAsia="Calibri" w:hAnsi="Times New Roman" w:cs="Times New Roman"/>
          <w:kern w:val="0"/>
          <w14:ligatures w14:val="none"/>
        </w:rPr>
        <w:t>l</w:t>
      </w:r>
      <w:r w:rsidR="000A4F37">
        <w:rPr>
          <w:rFonts w:ascii="Times New Roman" w:eastAsia="Calibri" w:hAnsi="Times New Roman" w:cs="Times New Roman"/>
          <w:kern w:val="0"/>
          <w14:ligatures w14:val="none"/>
        </w:rPr>
        <w:t>e projet d’Assistance technique pour l</w:t>
      </w:r>
      <w:r w:rsidR="00162144" w:rsidRPr="00162144">
        <w:rPr>
          <w:rFonts w:ascii="Times New Roman" w:eastAsia="Calibri" w:hAnsi="Times New Roman" w:cs="Times New Roman"/>
          <w:kern w:val="0"/>
          <w14:ligatures w14:val="none"/>
        </w:rPr>
        <w:t>’étude de faisabilité, des études d’avant-projet sommaire, d’avant-projet détaillé et de l’élaboration des dossiers d’appel d’offres du</w:t>
      </w:r>
      <w:r w:rsidR="00A8614E">
        <w:rPr>
          <w:rFonts w:ascii="Times New Roman" w:eastAsia="Calibri" w:hAnsi="Times New Roman" w:cs="Times New Roman"/>
          <w:kern w:val="0"/>
          <w14:ligatures w14:val="none"/>
        </w:rPr>
        <w:t xml:space="preserve"> </w:t>
      </w:r>
      <w:r w:rsidR="00A92883" w:rsidRPr="00A92883">
        <w:rPr>
          <w:rFonts w:ascii="Times New Roman" w:eastAsia="Calibri" w:hAnsi="Times New Roman" w:cs="Times New Roman"/>
          <w:kern w:val="0"/>
          <w14:ligatures w14:val="none"/>
        </w:rPr>
        <w:t>Programme de Développement de la Zone Agro-industrielle et Portuaire de Maradi (PROZAP-MARADI)</w:t>
      </w:r>
      <w:r w:rsidR="00A92883">
        <w:rPr>
          <w:rFonts w:ascii="Times New Roman" w:eastAsia="Calibri" w:hAnsi="Times New Roman" w:cs="Times New Roman"/>
          <w:kern w:val="0"/>
          <w14:ligatures w14:val="none"/>
        </w:rPr>
        <w:t xml:space="preserve"> </w:t>
      </w:r>
      <w:r w:rsidR="00A92883" w:rsidRPr="00A92883">
        <w:rPr>
          <w:rFonts w:ascii="Times New Roman" w:eastAsia="Calibri" w:hAnsi="Times New Roman" w:cs="Times New Roman"/>
          <w:kern w:val="0"/>
          <w14:ligatures w14:val="none"/>
        </w:rPr>
        <w:t>(ci-après dénommé « le Projet »)</w:t>
      </w:r>
      <w:r w:rsidR="00215833" w:rsidRPr="00215833">
        <w:rPr>
          <w:rFonts w:ascii="Times New Roman" w:eastAsia="Calibri" w:hAnsi="Times New Roman" w:cs="Times New Roman"/>
          <w:kern w:val="0"/>
          <w14:ligatures w14:val="none"/>
        </w:rPr>
        <w:t xml:space="preserve">. La Banque a accepté de fournir le financement, l'appui et le suivi de la mise en œuvre du projet. </w:t>
      </w:r>
    </w:p>
    <w:p w14:paraId="3FF067A1" w14:textId="1BD3684A" w:rsidR="00A92883" w:rsidRDefault="007852AD" w:rsidP="00A92883">
      <w:pPr>
        <w:numPr>
          <w:ilvl w:val="0"/>
          <w:numId w:val="1"/>
        </w:numPr>
        <w:spacing w:after="240" w:line="240" w:lineRule="auto"/>
        <w:jc w:val="both"/>
        <w:rPr>
          <w:rFonts w:ascii="Times New Roman" w:eastAsia="Calibri" w:hAnsi="Times New Roman" w:cs="Times New Roman"/>
          <w:kern w:val="0"/>
          <w14:ligatures w14:val="none"/>
        </w:rPr>
      </w:pPr>
      <w:r w:rsidRPr="007852AD">
        <w:rPr>
          <w:rFonts w:ascii="Times New Roman" w:eastAsia="Calibri" w:hAnsi="Times New Roman" w:cs="Times New Roman"/>
          <w:kern w:val="0"/>
          <w14:ligatures w14:val="none"/>
        </w:rPr>
        <w:t>La République du Niger</w:t>
      </w:r>
      <w:r w:rsidRPr="007852AD" w:rsidDel="007852AD">
        <w:rPr>
          <w:rFonts w:ascii="Times New Roman" w:eastAsia="Calibri" w:hAnsi="Times New Roman" w:cs="Times New Roman"/>
          <w:kern w:val="0"/>
          <w14:ligatures w14:val="none"/>
        </w:rPr>
        <w:t xml:space="preserve"> </w:t>
      </w:r>
      <w:r w:rsidR="00215833" w:rsidRPr="00215833">
        <w:rPr>
          <w:rFonts w:ascii="Times New Roman" w:eastAsia="Calibri" w:hAnsi="Times New Roman" w:cs="Times New Roman"/>
          <w:kern w:val="0"/>
          <w14:ligatures w14:val="none"/>
        </w:rPr>
        <w:t>mettra en œuvre les mesures et actions de ce Plan de Gestion Environnementale et Sociale</w:t>
      </w:r>
      <w:r w:rsidR="00215833" w:rsidRPr="00215833">
        <w:rPr>
          <w:rFonts w:ascii="Times New Roman" w:eastAsia="Calibri" w:hAnsi="Times New Roman" w:cs="Times New Roman"/>
          <w:kern w:val="0"/>
          <w:vertAlign w:val="superscript"/>
          <w14:ligatures w14:val="none"/>
        </w:rPr>
        <w:footnoteReference w:id="1"/>
      </w:r>
      <w:r w:rsidR="00215833" w:rsidRPr="00215833">
        <w:rPr>
          <w:rFonts w:ascii="Times New Roman" w:eastAsia="Calibri" w:hAnsi="Times New Roman" w:cs="Times New Roman"/>
          <w:kern w:val="0"/>
          <w14:ligatures w14:val="none"/>
        </w:rPr>
        <w:t xml:space="preserve"> (</w:t>
      </w:r>
      <w:r w:rsidR="00215833" w:rsidRPr="00215833">
        <w:rPr>
          <w:rFonts w:ascii="Times New Roman" w:eastAsia="Calibri" w:hAnsi="Times New Roman" w:cs="Times New Roman"/>
          <w:b/>
          <w:bCs/>
          <w:i/>
          <w:iCs/>
          <w:kern w:val="0"/>
          <w14:ligatures w14:val="none"/>
        </w:rPr>
        <w:t>PGES</w:t>
      </w:r>
      <w:r w:rsidR="00215833" w:rsidRPr="00215833">
        <w:rPr>
          <w:rFonts w:ascii="Times New Roman" w:eastAsia="Calibri" w:hAnsi="Times New Roman" w:cs="Times New Roman"/>
          <w:kern w:val="0"/>
          <w14:ligatures w14:val="none"/>
        </w:rPr>
        <w:t xml:space="preserve">) </w:t>
      </w:r>
      <w:r w:rsidR="00A92883" w:rsidRPr="00A92883">
        <w:rPr>
          <w:rFonts w:ascii="Times New Roman" w:eastAsia="Calibri" w:hAnsi="Times New Roman" w:cs="Times New Roman"/>
          <w:kern w:val="0"/>
          <w14:ligatures w14:val="none"/>
        </w:rPr>
        <w:t xml:space="preserve">afin de garantir que le Projet </w:t>
      </w:r>
      <w:r w:rsidR="009F231B" w:rsidRPr="009F231B">
        <w:rPr>
          <w:rFonts w:ascii="Times New Roman" w:eastAsia="Calibri" w:hAnsi="Times New Roman" w:cs="Times New Roman"/>
          <w:kern w:val="0"/>
          <w14:ligatures w14:val="none"/>
        </w:rPr>
        <w:t>réponde à toutes les exigences des Sauvegardes Opérationnelles (</w:t>
      </w:r>
      <w:r w:rsidR="009F231B" w:rsidRPr="009F231B">
        <w:rPr>
          <w:rFonts w:ascii="Times New Roman" w:eastAsia="Calibri" w:hAnsi="Times New Roman" w:cs="Times New Roman"/>
          <w:b/>
          <w:bCs/>
          <w:i/>
          <w:iCs/>
          <w:kern w:val="0"/>
          <w14:ligatures w14:val="none"/>
        </w:rPr>
        <w:t>SO</w:t>
      </w:r>
      <w:r w:rsidR="009F231B" w:rsidRPr="009F231B">
        <w:rPr>
          <w:rFonts w:ascii="Times New Roman" w:eastAsia="Calibri" w:hAnsi="Times New Roman" w:cs="Times New Roman"/>
          <w:kern w:val="0"/>
          <w14:ligatures w14:val="none"/>
        </w:rPr>
        <w:t>) environnementales et sociales de la Banque et aux exigences des politiques et législations nationales du pays hôte.</w:t>
      </w:r>
    </w:p>
    <w:p w14:paraId="3CDBDECB" w14:textId="77777777" w:rsidR="001E4A12" w:rsidRPr="001E4A12" w:rsidRDefault="001E4A12" w:rsidP="00EE0597">
      <w:pPr>
        <w:pStyle w:val="Paragraphedeliste"/>
        <w:spacing w:after="240" w:line="240" w:lineRule="auto"/>
        <w:ind w:left="1440"/>
        <w:jc w:val="both"/>
        <w:rPr>
          <w:rFonts w:ascii="Times New Roman" w:eastAsia="Calibri" w:hAnsi="Times New Roman" w:cs="Times New Roman"/>
          <w:kern w:val="0"/>
          <w14:ligatures w14:val="none"/>
        </w:rPr>
      </w:pPr>
    </w:p>
    <w:p w14:paraId="40E2FA70" w14:textId="3281E503" w:rsidR="002D0D97" w:rsidRPr="002D0D97" w:rsidRDefault="002D0D97" w:rsidP="002D0D97">
      <w:pPr>
        <w:numPr>
          <w:ilvl w:val="0"/>
          <w:numId w:val="1"/>
        </w:numPr>
        <w:spacing w:after="24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Lorsque le </w:t>
      </w:r>
      <w:r w:rsidR="00215833" w:rsidRPr="00215833">
        <w:rPr>
          <w:rFonts w:ascii="Times New Roman" w:eastAsia="Calibri" w:hAnsi="Times New Roman" w:cs="Times New Roman"/>
          <w:kern w:val="0"/>
          <w14:ligatures w14:val="none"/>
        </w:rPr>
        <w:t xml:space="preserve">PGES fait référence à des plans spécifiques, </w:t>
      </w:r>
      <w:r w:rsidRPr="002D0D97">
        <w:rPr>
          <w:rFonts w:ascii="Times New Roman" w:eastAsia="Calibri" w:hAnsi="Times New Roman" w:cs="Times New Roman"/>
          <w:kern w:val="0"/>
          <w14:ligatures w14:val="none"/>
        </w:rPr>
        <w:t xml:space="preserve">qu’ils soient déjà préparés ou à élaborer, l’Emprunteur/Client est tenu de respecter l’ensemble des dispositions obligatoires de ces plans. </w:t>
      </w:r>
    </w:p>
    <w:p w14:paraId="02B4F0D9" w14:textId="1B14CDD8" w:rsidR="002D0D97" w:rsidRPr="002D0D97" w:rsidRDefault="00215833" w:rsidP="002D0D97">
      <w:pPr>
        <w:numPr>
          <w:ilvl w:val="0"/>
          <w:numId w:val="1"/>
        </w:numPr>
        <w:spacing w:after="240" w:line="240" w:lineRule="auto"/>
        <w:jc w:val="both"/>
        <w:rPr>
          <w:rFonts w:ascii="Times New Roman" w:eastAsia="Calibri" w:hAnsi="Times New Roman" w:cs="Times New Roman"/>
          <w:kern w:val="0"/>
          <w14:ligatures w14:val="none"/>
        </w:rPr>
      </w:pPr>
      <w:r w:rsidRPr="00215833">
        <w:rPr>
          <w:rFonts w:ascii="Times New Roman" w:eastAsia="Calibri" w:hAnsi="Times New Roman" w:cs="Times New Roman"/>
          <w:kern w:val="0"/>
          <w14:ligatures w14:val="none"/>
        </w:rPr>
        <w:t xml:space="preserve">Le tableau ci-dessous </w:t>
      </w:r>
      <w:r w:rsidR="002D0D97">
        <w:rPr>
          <w:rFonts w:ascii="Times New Roman" w:eastAsia="Calibri" w:hAnsi="Times New Roman" w:cs="Times New Roman"/>
          <w:kern w:val="0"/>
          <w14:ligatures w14:val="none"/>
        </w:rPr>
        <w:t>présente</w:t>
      </w:r>
      <w:r w:rsidR="002D0D97" w:rsidRPr="00215833">
        <w:rPr>
          <w:rFonts w:ascii="Times New Roman" w:eastAsia="Calibri" w:hAnsi="Times New Roman" w:cs="Times New Roman"/>
          <w:kern w:val="0"/>
          <w14:ligatures w14:val="none"/>
        </w:rPr>
        <w:t xml:space="preserve"> </w:t>
      </w:r>
      <w:r w:rsidRPr="00215833">
        <w:rPr>
          <w:rFonts w:ascii="Times New Roman" w:eastAsia="Calibri" w:hAnsi="Times New Roman" w:cs="Times New Roman"/>
          <w:kern w:val="0"/>
          <w14:ligatures w14:val="none"/>
        </w:rPr>
        <w:t xml:space="preserve">les </w:t>
      </w:r>
      <w:r w:rsidR="002D0D97">
        <w:rPr>
          <w:rFonts w:ascii="Times New Roman" w:eastAsia="Calibri" w:hAnsi="Times New Roman" w:cs="Times New Roman"/>
          <w:kern w:val="0"/>
          <w14:ligatures w14:val="none"/>
        </w:rPr>
        <w:t xml:space="preserve">principales </w:t>
      </w:r>
      <w:r w:rsidRPr="00215833">
        <w:rPr>
          <w:rFonts w:ascii="Times New Roman" w:eastAsia="Calibri" w:hAnsi="Times New Roman" w:cs="Times New Roman"/>
          <w:kern w:val="0"/>
          <w14:ligatures w14:val="none"/>
        </w:rPr>
        <w:t xml:space="preserve">actions et mesures </w:t>
      </w:r>
      <w:r w:rsidR="002D0D97">
        <w:rPr>
          <w:rFonts w:ascii="Times New Roman" w:eastAsia="Calibri" w:hAnsi="Times New Roman" w:cs="Times New Roman"/>
          <w:kern w:val="0"/>
          <w14:ligatures w14:val="none"/>
        </w:rPr>
        <w:t xml:space="preserve">environnementales et sociales requises dans le cadre du </w:t>
      </w:r>
      <w:r w:rsidR="00E56396">
        <w:rPr>
          <w:rFonts w:ascii="Times New Roman" w:eastAsia="Calibri" w:hAnsi="Times New Roman" w:cs="Times New Roman"/>
          <w:kern w:val="0"/>
          <w14:ligatures w14:val="none"/>
        </w:rPr>
        <w:t>projet</w:t>
      </w:r>
      <w:r w:rsidR="002D0D97">
        <w:rPr>
          <w:rFonts w:ascii="Times New Roman" w:eastAsia="Calibri" w:hAnsi="Times New Roman" w:cs="Times New Roman"/>
          <w:kern w:val="0"/>
          <w14:ligatures w14:val="none"/>
        </w:rPr>
        <w:t xml:space="preserve">, </w:t>
      </w:r>
      <w:r w:rsidR="002D0D97" w:rsidRPr="002D0D97">
        <w:rPr>
          <w:rFonts w:ascii="Times New Roman" w:eastAsia="Calibri" w:hAnsi="Times New Roman" w:cs="Times New Roman"/>
          <w:kern w:val="0"/>
          <w14:ligatures w14:val="none"/>
        </w:rPr>
        <w:t>en précisant :</w:t>
      </w:r>
    </w:p>
    <w:p w14:paraId="728871BF" w14:textId="77777777" w:rsidR="002D0D97" w:rsidRPr="00EE0597" w:rsidRDefault="002D0D97" w:rsidP="00EE0597">
      <w:pPr>
        <w:pStyle w:val="Paragraphedeliste"/>
        <w:numPr>
          <w:ilvl w:val="0"/>
          <w:numId w:val="4"/>
        </w:numPr>
        <w:spacing w:after="240" w:line="240" w:lineRule="auto"/>
        <w:jc w:val="both"/>
        <w:rPr>
          <w:rFonts w:ascii="Times New Roman" w:eastAsia="Calibri" w:hAnsi="Times New Roman" w:cs="Times New Roman"/>
          <w:kern w:val="0"/>
          <w14:ligatures w14:val="none"/>
        </w:rPr>
      </w:pPr>
      <w:r w:rsidRPr="00EE0597">
        <w:rPr>
          <w:rFonts w:ascii="Times New Roman" w:eastAsia="Calibri" w:hAnsi="Times New Roman" w:cs="Times New Roman"/>
          <w:kern w:val="0"/>
          <w14:ligatures w14:val="none"/>
        </w:rPr>
        <w:t>le fondement de l’exigence (cadre réglementaire national et/ou Sauvegardes Opérationnelles de la Banque) ;</w:t>
      </w:r>
    </w:p>
    <w:p w14:paraId="7780A013" w14:textId="77777777" w:rsidR="002D0D97" w:rsidRPr="00EE0597" w:rsidRDefault="002D0D97" w:rsidP="00EE0597">
      <w:pPr>
        <w:pStyle w:val="Paragraphedeliste"/>
        <w:numPr>
          <w:ilvl w:val="0"/>
          <w:numId w:val="4"/>
        </w:numPr>
        <w:spacing w:after="240" w:line="240" w:lineRule="auto"/>
        <w:jc w:val="both"/>
        <w:rPr>
          <w:rFonts w:ascii="Times New Roman" w:eastAsia="Calibri" w:hAnsi="Times New Roman" w:cs="Times New Roman"/>
          <w:kern w:val="0"/>
          <w14:ligatures w14:val="none"/>
        </w:rPr>
      </w:pPr>
      <w:r w:rsidRPr="00EE0597">
        <w:rPr>
          <w:rFonts w:ascii="Times New Roman" w:eastAsia="Calibri" w:hAnsi="Times New Roman" w:cs="Times New Roman"/>
          <w:kern w:val="0"/>
          <w14:ligatures w14:val="none"/>
        </w:rPr>
        <w:t>les échéances de mise en œuvre ;</w:t>
      </w:r>
    </w:p>
    <w:p w14:paraId="74710F31" w14:textId="4A26CDF8" w:rsidR="002D0D97" w:rsidRPr="00EE0597" w:rsidRDefault="002D0D97" w:rsidP="00EE0597">
      <w:pPr>
        <w:pStyle w:val="Paragraphedeliste"/>
        <w:numPr>
          <w:ilvl w:val="0"/>
          <w:numId w:val="4"/>
        </w:numPr>
        <w:spacing w:after="240" w:line="240" w:lineRule="auto"/>
        <w:jc w:val="both"/>
        <w:rPr>
          <w:rFonts w:ascii="Times New Roman" w:eastAsia="Calibri" w:hAnsi="Times New Roman" w:cs="Times New Roman"/>
          <w:kern w:val="0"/>
          <w14:ligatures w14:val="none"/>
        </w:rPr>
      </w:pPr>
      <w:r w:rsidRPr="00EE0597">
        <w:rPr>
          <w:rFonts w:ascii="Times New Roman" w:eastAsia="Calibri" w:hAnsi="Times New Roman" w:cs="Times New Roman"/>
          <w:kern w:val="0"/>
          <w14:ligatures w14:val="none"/>
        </w:rPr>
        <w:t>les indicateurs de performance permettant de vérifier leur réalisation effective.</w:t>
      </w:r>
    </w:p>
    <w:p w14:paraId="08C3C04B" w14:textId="4952A257" w:rsidR="002D0D97" w:rsidRPr="002D0D97" w:rsidRDefault="007852AD" w:rsidP="00EE0597">
      <w:pPr>
        <w:spacing w:after="240" w:line="240" w:lineRule="auto"/>
        <w:ind w:left="72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La République du Niger à travers le </w:t>
      </w:r>
      <w:r w:rsidRPr="002D0D97">
        <w:rPr>
          <w:rFonts w:ascii="Times New Roman" w:eastAsia="Calibri" w:hAnsi="Times New Roman" w:cs="Times New Roman"/>
          <w:kern w:val="0"/>
          <w14:ligatures w14:val="none"/>
        </w:rPr>
        <w:t>Ministère de l’Économie et des Finances</w:t>
      </w:r>
      <w:r>
        <w:rPr>
          <w:rFonts w:ascii="Times New Roman" w:eastAsia="Calibri" w:hAnsi="Times New Roman" w:cs="Times New Roman"/>
          <w:kern w:val="0"/>
          <w14:ligatures w14:val="none"/>
        </w:rPr>
        <w:t xml:space="preserve"> </w:t>
      </w:r>
      <w:r w:rsidR="002D0D97" w:rsidRPr="002D0D97">
        <w:rPr>
          <w:rFonts w:ascii="Times New Roman" w:eastAsia="Calibri" w:hAnsi="Times New Roman" w:cs="Times New Roman"/>
          <w:kern w:val="0"/>
          <w14:ligatures w14:val="none"/>
        </w:rPr>
        <w:t xml:space="preserve"> </w:t>
      </w:r>
      <w:r w:rsidR="005E385F">
        <w:rPr>
          <w:rFonts w:ascii="Times New Roman" w:eastAsia="Calibri" w:hAnsi="Times New Roman" w:cs="Times New Roman"/>
          <w:kern w:val="0"/>
          <w14:ligatures w14:val="none"/>
        </w:rPr>
        <w:t>est</w:t>
      </w:r>
      <w:r w:rsidR="005E385F" w:rsidRPr="002D0D97">
        <w:rPr>
          <w:rFonts w:ascii="Times New Roman" w:eastAsia="Calibri" w:hAnsi="Times New Roman" w:cs="Times New Roman"/>
          <w:kern w:val="0"/>
          <w14:ligatures w14:val="none"/>
        </w:rPr>
        <w:t xml:space="preserve"> </w:t>
      </w:r>
      <w:r w:rsidR="002D0D97" w:rsidRPr="002D0D97">
        <w:rPr>
          <w:rFonts w:ascii="Times New Roman" w:eastAsia="Calibri" w:hAnsi="Times New Roman" w:cs="Times New Roman"/>
          <w:kern w:val="0"/>
          <w14:ligatures w14:val="none"/>
        </w:rPr>
        <w:t xml:space="preserve">responsable </w:t>
      </w:r>
      <w:r w:rsidR="005E385F" w:rsidRPr="005E385F">
        <w:rPr>
          <w:rFonts w:ascii="Times New Roman" w:eastAsia="Calibri" w:hAnsi="Times New Roman" w:cs="Times New Roman"/>
          <w:kern w:val="0"/>
          <w14:ligatures w14:val="none"/>
        </w:rPr>
        <w:t xml:space="preserve">du respect de toutes les exigences du </w:t>
      </w:r>
      <w:r w:rsidR="002D0D97" w:rsidRPr="002D0D97">
        <w:rPr>
          <w:rFonts w:ascii="Times New Roman" w:eastAsia="Calibri" w:hAnsi="Times New Roman" w:cs="Times New Roman"/>
          <w:kern w:val="0"/>
          <w14:ligatures w14:val="none"/>
        </w:rPr>
        <w:t xml:space="preserve">présent PGES, </w:t>
      </w:r>
      <w:r w:rsidR="00891A95" w:rsidRPr="00891A95">
        <w:rPr>
          <w:rFonts w:ascii="Times New Roman" w:eastAsia="Calibri" w:hAnsi="Times New Roman" w:cs="Times New Roman"/>
          <w:kern w:val="0"/>
          <w14:ligatures w14:val="none"/>
        </w:rPr>
        <w:t>même lorsque la mise en œuvre de mesures et d’actions spécifiques est effectuée</w:t>
      </w:r>
      <w:r w:rsidR="002D0D97" w:rsidRPr="002D0D97">
        <w:rPr>
          <w:rFonts w:ascii="Times New Roman" w:eastAsia="Calibri" w:hAnsi="Times New Roman" w:cs="Times New Roman"/>
          <w:kern w:val="0"/>
          <w14:ligatures w14:val="none"/>
        </w:rPr>
        <w:t xml:space="preserve"> </w:t>
      </w:r>
      <w:r w:rsidR="00EA66DC">
        <w:rPr>
          <w:rFonts w:ascii="Times New Roman" w:eastAsia="Calibri" w:hAnsi="Times New Roman" w:cs="Times New Roman"/>
          <w:kern w:val="0"/>
          <w14:ligatures w14:val="none"/>
        </w:rPr>
        <w:t>par</w:t>
      </w:r>
      <w:r w:rsidR="00EA66DC" w:rsidRPr="002D0D97">
        <w:rPr>
          <w:rFonts w:ascii="Times New Roman" w:eastAsia="Calibri" w:hAnsi="Times New Roman" w:cs="Times New Roman"/>
          <w:kern w:val="0"/>
          <w14:ligatures w14:val="none"/>
        </w:rPr>
        <w:t xml:space="preserve"> </w:t>
      </w:r>
      <w:r w:rsidR="002D0D97" w:rsidRPr="002D0D97">
        <w:rPr>
          <w:rFonts w:ascii="Times New Roman" w:eastAsia="Calibri" w:hAnsi="Times New Roman" w:cs="Times New Roman"/>
          <w:kern w:val="0"/>
          <w14:ligatures w14:val="none"/>
        </w:rPr>
        <w:t>d’autres entités</w:t>
      </w:r>
      <w:r w:rsidR="00275FBE">
        <w:rPr>
          <w:rFonts w:ascii="Times New Roman" w:eastAsia="Calibri" w:hAnsi="Times New Roman" w:cs="Times New Roman"/>
          <w:kern w:val="0"/>
          <w14:ligatures w14:val="none"/>
        </w:rPr>
        <w:t xml:space="preserve"> </w:t>
      </w:r>
      <w:r w:rsidR="00181DDD" w:rsidRPr="00181DDD">
        <w:rPr>
          <w:rFonts w:ascii="Times New Roman" w:eastAsia="Calibri" w:hAnsi="Times New Roman" w:cs="Times New Roman"/>
          <w:kern w:val="0"/>
          <w14:ligatures w14:val="none"/>
        </w:rPr>
        <w:t>différente</w:t>
      </w:r>
      <w:r w:rsidR="00275FBE">
        <w:rPr>
          <w:rFonts w:ascii="Times New Roman" w:eastAsia="Calibri" w:hAnsi="Times New Roman" w:cs="Times New Roman"/>
          <w:kern w:val="0"/>
          <w14:ligatures w14:val="none"/>
        </w:rPr>
        <w:t>s</w:t>
      </w:r>
      <w:r w:rsidR="00181DDD" w:rsidRPr="00181DDD">
        <w:rPr>
          <w:rFonts w:ascii="Times New Roman" w:eastAsia="Calibri" w:hAnsi="Times New Roman" w:cs="Times New Roman"/>
          <w:kern w:val="0"/>
          <w14:ligatures w14:val="none"/>
        </w:rPr>
        <w:t xml:space="preserve"> de l’Unité de Gestion du Projet (UGP)</w:t>
      </w:r>
    </w:p>
    <w:p w14:paraId="06276DBE" w14:textId="4BCB7B14" w:rsidR="00361E05" w:rsidRDefault="00215833" w:rsidP="00215833">
      <w:pPr>
        <w:numPr>
          <w:ilvl w:val="0"/>
          <w:numId w:val="1"/>
        </w:numPr>
        <w:spacing w:after="240" w:line="240" w:lineRule="auto"/>
        <w:jc w:val="both"/>
        <w:rPr>
          <w:rFonts w:ascii="Times New Roman" w:eastAsia="Calibri" w:hAnsi="Times New Roman" w:cs="Times New Roman"/>
          <w:kern w:val="0"/>
          <w14:ligatures w14:val="none"/>
        </w:rPr>
      </w:pPr>
      <w:r w:rsidRPr="00215833">
        <w:rPr>
          <w:rFonts w:ascii="Times New Roman" w:eastAsia="Calibri" w:hAnsi="Times New Roman" w:cs="Times New Roman"/>
          <w:kern w:val="0"/>
          <w14:ligatures w14:val="none"/>
        </w:rPr>
        <w:t>La mise en œuvre des mesures et actions énoncées dans le présent PGES fera l’objet d’un suivi et d’un rapport à la Banque</w:t>
      </w:r>
      <w:r w:rsidR="001D667C">
        <w:rPr>
          <w:rFonts w:ascii="Times New Roman" w:eastAsia="Calibri" w:hAnsi="Times New Roman" w:cs="Times New Roman"/>
          <w:kern w:val="0"/>
          <w14:ligatures w14:val="none"/>
        </w:rPr>
        <w:t xml:space="preserve"> par l</w:t>
      </w:r>
      <w:r w:rsidR="001D667C" w:rsidRPr="001D667C">
        <w:rPr>
          <w:rFonts w:ascii="Times New Roman" w:eastAsia="Calibri" w:hAnsi="Times New Roman" w:cs="Times New Roman"/>
          <w:kern w:val="0"/>
          <w14:ligatures w14:val="none"/>
        </w:rPr>
        <w:t>a République du Niger</w:t>
      </w:r>
      <w:r w:rsidR="00361E05">
        <w:rPr>
          <w:rFonts w:ascii="Times New Roman" w:eastAsia="Calibri" w:hAnsi="Times New Roman" w:cs="Times New Roman"/>
          <w:kern w:val="0"/>
          <w14:ligatures w14:val="none"/>
        </w:rPr>
        <w:t xml:space="preserve">, </w:t>
      </w:r>
      <w:r w:rsidR="005938E9" w:rsidRPr="005938E9">
        <w:rPr>
          <w:rFonts w:ascii="Times New Roman" w:eastAsia="Calibri" w:hAnsi="Times New Roman" w:cs="Times New Roman"/>
          <w:kern w:val="0"/>
          <w14:ligatures w14:val="none"/>
        </w:rPr>
        <w:t xml:space="preserve">tel que requis par le PGES et les </w:t>
      </w:r>
      <w:r w:rsidR="005938E9" w:rsidRPr="005938E9">
        <w:rPr>
          <w:rFonts w:ascii="Times New Roman" w:eastAsia="Calibri" w:hAnsi="Times New Roman" w:cs="Times New Roman"/>
          <w:kern w:val="0"/>
          <w14:ligatures w14:val="none"/>
        </w:rPr>
        <w:lastRenderedPageBreak/>
        <w:t>conditions de l’accord juridique, et la Banque suivra et évaluera les progrès et la réalisation des mesures et des actions tout au long de la mise en œuvre du Projet.</w:t>
      </w:r>
      <w:r w:rsidR="00361E05">
        <w:rPr>
          <w:rFonts w:ascii="Times New Roman" w:eastAsia="Calibri" w:hAnsi="Times New Roman" w:cs="Times New Roman"/>
          <w:kern w:val="0"/>
          <w14:ligatures w14:val="none"/>
        </w:rPr>
        <w:t xml:space="preserve">. </w:t>
      </w:r>
    </w:p>
    <w:p w14:paraId="38DBDB2C" w14:textId="72D0A16F" w:rsidR="000B29BE" w:rsidRPr="00EE0597" w:rsidRDefault="00EA2131" w:rsidP="00EE0597">
      <w:pPr>
        <w:numPr>
          <w:ilvl w:val="0"/>
          <w:numId w:val="1"/>
        </w:numPr>
        <w:spacing w:after="240" w:line="240" w:lineRule="auto"/>
        <w:jc w:val="both"/>
        <w:rPr>
          <w:rFonts w:ascii="Times New Roman" w:eastAsia="Calibri" w:hAnsi="Times New Roman" w:cs="Times New Roman"/>
          <w:kern w:val="0"/>
          <w14:ligatures w14:val="none"/>
        </w:rPr>
      </w:pPr>
      <w:r w:rsidRPr="00EA2131">
        <w:rPr>
          <w:rFonts w:ascii="Times New Roman" w:eastAsia="Calibri" w:hAnsi="Times New Roman" w:cs="Times New Roman"/>
          <w:kern w:val="0"/>
          <w14:ligatures w14:val="none"/>
        </w:rPr>
        <w:t xml:space="preserve">Comme convenu entre la Banque et </w:t>
      </w:r>
      <w:r w:rsidR="00352A9C" w:rsidRPr="00352A9C">
        <w:rPr>
          <w:rFonts w:ascii="Times New Roman" w:eastAsia="Calibri" w:hAnsi="Times New Roman" w:cs="Times New Roman"/>
          <w:kern w:val="0"/>
          <w14:ligatures w14:val="none"/>
        </w:rPr>
        <w:t>la République du Niger</w:t>
      </w:r>
      <w:r w:rsidRPr="00EA2131">
        <w:rPr>
          <w:rFonts w:ascii="Times New Roman" w:eastAsia="Calibri" w:hAnsi="Times New Roman" w:cs="Times New Roman"/>
          <w:kern w:val="0"/>
          <w14:ligatures w14:val="none"/>
        </w:rPr>
        <w:t xml:space="preserve">, ce PGES peut être révisé en cas de nécessité au cours de la mise en œuvre du Projet, afin de refléter la gestion adaptative des risques liés aux changements apportés au projet, à des circonstances imprévues ou en réponse à l’évaluation de la performance du projet menée dans le cadre du PGES lui-même. Dans de telles circonstances, </w:t>
      </w:r>
      <w:r w:rsidR="00352A9C" w:rsidRPr="00352A9C">
        <w:rPr>
          <w:rFonts w:ascii="Times New Roman" w:eastAsia="Calibri" w:hAnsi="Times New Roman" w:cs="Times New Roman"/>
          <w:kern w:val="0"/>
          <w14:ligatures w14:val="none"/>
        </w:rPr>
        <w:t>la République du Niger</w:t>
      </w:r>
      <w:r w:rsidRPr="00EA2131">
        <w:rPr>
          <w:rFonts w:ascii="Times New Roman" w:eastAsia="Calibri" w:hAnsi="Times New Roman" w:cs="Times New Roman"/>
          <w:kern w:val="0"/>
          <w14:ligatures w14:val="none"/>
        </w:rPr>
        <w:t xml:space="preserve"> proposera et conviendra des modifications avec la Banque, puis mettra à jour le PGES pour refléter ces changements.</w:t>
      </w:r>
    </w:p>
    <w:p w14:paraId="27B816E3" w14:textId="77777777" w:rsidR="00215833" w:rsidRDefault="00215833" w:rsidP="00215833">
      <w:pPr>
        <w:spacing w:after="240" w:line="240" w:lineRule="auto"/>
        <w:ind w:left="720"/>
        <w:jc w:val="both"/>
        <w:rPr>
          <w:rFonts w:ascii="Times New Roman" w:eastAsia="Calibri" w:hAnsi="Times New Roman" w:cs="Times New Roman"/>
          <w:kern w:val="0"/>
          <w14:ligatures w14:val="none"/>
        </w:rPr>
        <w:sectPr w:rsidR="00215833">
          <w:pgSz w:w="11906" w:h="16838"/>
          <w:pgMar w:top="1417" w:right="1417" w:bottom="1417" w:left="1417" w:header="708" w:footer="708" w:gutter="0"/>
          <w:cols w:space="708"/>
          <w:docGrid w:linePitch="360"/>
        </w:sectPr>
      </w:pPr>
    </w:p>
    <w:tbl>
      <w:tblPr>
        <w:tblStyle w:val="Grilledutableau1"/>
        <w:tblW w:w="15372" w:type="dxa"/>
        <w:tblInd w:w="-635" w:type="dxa"/>
        <w:tblLayout w:type="fixed"/>
        <w:tblLook w:val="04A0" w:firstRow="1" w:lastRow="0" w:firstColumn="1" w:lastColumn="0" w:noHBand="0" w:noVBand="1"/>
      </w:tblPr>
      <w:tblGrid>
        <w:gridCol w:w="625"/>
        <w:gridCol w:w="5675"/>
        <w:gridCol w:w="1985"/>
        <w:gridCol w:w="4394"/>
        <w:gridCol w:w="2693"/>
      </w:tblGrid>
      <w:tr w:rsidR="00215833" w:rsidRPr="00215833" w14:paraId="3A41E013" w14:textId="77777777" w:rsidTr="00EE0597">
        <w:trPr>
          <w:trHeight w:val="405"/>
        </w:trPr>
        <w:tc>
          <w:tcPr>
            <w:tcW w:w="6300" w:type="dxa"/>
            <w:gridSpan w:val="2"/>
            <w:tcBorders>
              <w:top w:val="single" w:sz="18" w:space="0" w:color="auto"/>
            </w:tcBorders>
          </w:tcPr>
          <w:bookmarkEnd w:id="0"/>
          <w:p w14:paraId="70CBDC8C" w14:textId="77777777" w:rsidR="00215833" w:rsidRPr="001250E9" w:rsidRDefault="00215833" w:rsidP="00215833">
            <w:pPr>
              <w:jc w:val="center"/>
              <w:rPr>
                <w:rFonts w:ascii="Calibri" w:eastAsia="Calibri" w:hAnsi="Calibri" w:cs="Times New Roman"/>
                <w:b/>
                <w:i/>
                <w:noProof/>
                <w:sz w:val="20"/>
                <w:szCs w:val="20"/>
                <w:lang w:val="fr-FR"/>
              </w:rPr>
            </w:pPr>
            <w:r w:rsidRPr="00534F1D">
              <w:rPr>
                <w:rFonts w:ascii="Calibri" w:eastAsia="Calibri" w:hAnsi="Calibri" w:cs="Times New Roman"/>
                <w:b/>
                <w:i/>
                <w:noProof/>
                <w:sz w:val="20"/>
                <w:szCs w:val="20"/>
              </w:rPr>
              <w:lastRenderedPageBreak/>
              <w:t>Actions</w:t>
            </w:r>
            <w:r w:rsidRPr="00215833">
              <w:rPr>
                <w:rFonts w:ascii="Calibri" w:eastAsia="Calibri" w:hAnsi="Calibri" w:cs="Times New Roman"/>
                <w:b/>
                <w:i/>
                <w:noProof/>
                <w:color w:val="FF0000"/>
                <w:sz w:val="20"/>
                <w:szCs w:val="20"/>
                <w:vertAlign w:val="superscript"/>
              </w:rPr>
              <w:footnoteReference w:id="2"/>
            </w:r>
            <w:r w:rsidRPr="00534F1D">
              <w:rPr>
                <w:rFonts w:ascii="Calibri" w:eastAsia="Calibri" w:hAnsi="Calibri" w:cs="Times New Roman"/>
                <w:b/>
                <w:i/>
                <w:noProof/>
                <w:sz w:val="20"/>
                <w:szCs w:val="20"/>
              </w:rPr>
              <w:t xml:space="preserve"> importantes pour gérer les risques et les impacts E&amp;S du projet</w:t>
            </w:r>
          </w:p>
        </w:tc>
        <w:tc>
          <w:tcPr>
            <w:tcW w:w="1985" w:type="dxa"/>
            <w:tcBorders>
              <w:top w:val="single" w:sz="18" w:space="0" w:color="auto"/>
            </w:tcBorders>
          </w:tcPr>
          <w:p w14:paraId="57D8D5C1" w14:textId="77777777" w:rsidR="00215833" w:rsidRPr="00215833" w:rsidRDefault="00215833" w:rsidP="00215833">
            <w:pPr>
              <w:jc w:val="center"/>
              <w:rPr>
                <w:rFonts w:ascii="Calibri" w:eastAsia="Calibri" w:hAnsi="Calibri" w:cs="Times New Roman"/>
                <w:b/>
                <w:i/>
                <w:noProof/>
                <w:sz w:val="20"/>
                <w:szCs w:val="20"/>
              </w:rPr>
            </w:pPr>
            <w:r w:rsidRPr="00215833">
              <w:rPr>
                <w:rFonts w:ascii="Calibri" w:eastAsia="Calibri" w:hAnsi="Calibri" w:cs="Times New Roman"/>
                <w:b/>
                <w:i/>
                <w:noProof/>
                <w:sz w:val="20"/>
                <w:szCs w:val="20"/>
              </w:rPr>
              <w:t>Fondement de l’exigence</w:t>
            </w:r>
          </w:p>
        </w:tc>
        <w:tc>
          <w:tcPr>
            <w:tcW w:w="4394" w:type="dxa"/>
            <w:tcBorders>
              <w:top w:val="single" w:sz="18" w:space="0" w:color="auto"/>
            </w:tcBorders>
          </w:tcPr>
          <w:p w14:paraId="348D205C" w14:textId="77777777" w:rsidR="00215833" w:rsidRPr="00215833" w:rsidRDefault="00215833" w:rsidP="00215833">
            <w:pPr>
              <w:jc w:val="center"/>
              <w:rPr>
                <w:rFonts w:ascii="Calibri" w:eastAsia="Calibri" w:hAnsi="Calibri" w:cs="Times New Roman"/>
                <w:b/>
                <w:i/>
                <w:noProof/>
                <w:sz w:val="20"/>
                <w:szCs w:val="20"/>
              </w:rPr>
            </w:pPr>
            <w:r w:rsidRPr="00215833">
              <w:rPr>
                <w:rFonts w:ascii="Calibri" w:eastAsia="Calibri" w:hAnsi="Calibri" w:cs="Times New Roman"/>
                <w:b/>
                <w:i/>
                <w:noProof/>
                <w:sz w:val="20"/>
                <w:szCs w:val="20"/>
              </w:rPr>
              <w:t>Indicateur clé de performance</w:t>
            </w:r>
          </w:p>
        </w:tc>
        <w:tc>
          <w:tcPr>
            <w:tcW w:w="2693" w:type="dxa"/>
            <w:tcBorders>
              <w:top w:val="single" w:sz="18" w:space="0" w:color="auto"/>
            </w:tcBorders>
          </w:tcPr>
          <w:p w14:paraId="251F3BB2" w14:textId="77777777" w:rsidR="00215833" w:rsidRPr="001250E9" w:rsidRDefault="00215833" w:rsidP="00215833">
            <w:pPr>
              <w:jc w:val="center"/>
              <w:rPr>
                <w:rFonts w:ascii="Calibri" w:eastAsia="Calibri" w:hAnsi="Calibri" w:cs="Times New Roman"/>
                <w:b/>
                <w:i/>
                <w:noProof/>
                <w:sz w:val="20"/>
                <w:szCs w:val="20"/>
                <w:lang w:val="fr-FR"/>
              </w:rPr>
            </w:pPr>
            <w:r w:rsidRPr="00534F1D">
              <w:rPr>
                <w:rFonts w:ascii="Calibri" w:eastAsia="Calibri" w:hAnsi="Calibri" w:cs="Times New Roman"/>
                <w:b/>
                <w:i/>
                <w:noProof/>
                <w:sz w:val="20"/>
                <w:szCs w:val="20"/>
              </w:rPr>
              <w:t xml:space="preserve">Echéance de mise en œuvre </w:t>
            </w:r>
          </w:p>
        </w:tc>
      </w:tr>
      <w:tr w:rsidR="00215833" w:rsidRPr="00215833" w14:paraId="79263A2F" w14:textId="77777777" w:rsidTr="00EE0597">
        <w:trPr>
          <w:trHeight w:val="297"/>
        </w:trPr>
        <w:tc>
          <w:tcPr>
            <w:tcW w:w="6300" w:type="dxa"/>
            <w:gridSpan w:val="2"/>
            <w:tcBorders>
              <w:top w:val="single" w:sz="18" w:space="0" w:color="auto"/>
            </w:tcBorders>
          </w:tcPr>
          <w:p w14:paraId="0C3E0C87" w14:textId="77777777" w:rsidR="00215833" w:rsidRPr="001250E9" w:rsidRDefault="00215833" w:rsidP="00215833">
            <w:pPr>
              <w:jc w:val="both"/>
              <w:rPr>
                <w:rFonts w:ascii="Calibri" w:eastAsia="Calibri" w:hAnsi="Calibri" w:cs="Times New Roman"/>
                <w:bCs/>
                <w:iCs/>
                <w:noProof/>
                <w:sz w:val="20"/>
                <w:szCs w:val="20"/>
                <w:lang w:val="fr-FR"/>
              </w:rPr>
            </w:pPr>
            <w:r w:rsidRPr="00534F1D">
              <w:rPr>
                <w:rFonts w:ascii="Calibri" w:eastAsia="Calibri" w:hAnsi="Calibri" w:cs="Times New Roman"/>
                <w:bCs/>
                <w:iCs/>
                <w:noProof/>
                <w:sz w:val="20"/>
                <w:szCs w:val="20"/>
              </w:rPr>
              <w:t>Rapport périodique sur la mise en œuvre des mesures E&amp;S à la Banque</w:t>
            </w:r>
          </w:p>
        </w:tc>
        <w:tc>
          <w:tcPr>
            <w:tcW w:w="1985" w:type="dxa"/>
            <w:tcBorders>
              <w:top w:val="single" w:sz="18" w:space="0" w:color="auto"/>
            </w:tcBorders>
          </w:tcPr>
          <w:p w14:paraId="43733F6E" w14:textId="77777777" w:rsidR="00215833" w:rsidRPr="001250E9" w:rsidRDefault="00215833" w:rsidP="00EE0597">
            <w:pPr>
              <w:rPr>
                <w:rFonts w:ascii="Calibri" w:eastAsia="Calibri" w:hAnsi="Calibri" w:cs="Times New Roman"/>
                <w:bCs/>
                <w:iCs/>
                <w:noProof/>
                <w:sz w:val="20"/>
                <w:szCs w:val="20"/>
                <w:lang w:val="fr-FR"/>
              </w:rPr>
            </w:pPr>
            <w:r w:rsidRPr="00534F1D">
              <w:rPr>
                <w:rFonts w:ascii="Calibri" w:eastAsia="Calibri" w:hAnsi="Calibri" w:cs="Times New Roman"/>
                <w:bCs/>
                <w:iCs/>
                <w:sz w:val="20"/>
                <w:szCs w:val="20"/>
              </w:rPr>
              <w:t>PES de la Banque et SO1</w:t>
            </w:r>
          </w:p>
        </w:tc>
        <w:tc>
          <w:tcPr>
            <w:tcW w:w="4394" w:type="dxa"/>
            <w:tcBorders>
              <w:top w:val="single" w:sz="18" w:space="0" w:color="auto"/>
            </w:tcBorders>
          </w:tcPr>
          <w:p w14:paraId="37553521" w14:textId="5E26A1FC" w:rsidR="00215833" w:rsidRPr="001250E9" w:rsidRDefault="000B29BE" w:rsidP="00EE0597">
            <w:pPr>
              <w:rPr>
                <w:rFonts w:ascii="Calibri" w:eastAsia="Calibri" w:hAnsi="Calibri" w:cs="Times New Roman"/>
                <w:bCs/>
                <w:iCs/>
                <w:noProof/>
                <w:sz w:val="20"/>
                <w:szCs w:val="20"/>
                <w:lang w:val="fr-FR"/>
              </w:rPr>
            </w:pPr>
            <w:r w:rsidRPr="00534F1D">
              <w:rPr>
                <w:rFonts w:ascii="Calibri" w:eastAsia="Calibri" w:hAnsi="Calibri" w:cs="Times New Roman"/>
                <w:bCs/>
                <w:iCs/>
                <w:noProof/>
                <w:sz w:val="20"/>
                <w:szCs w:val="20"/>
              </w:rPr>
              <w:t xml:space="preserve">Rapports </w:t>
            </w:r>
            <w:r w:rsidR="0095203D">
              <w:rPr>
                <w:rFonts w:ascii="Calibri" w:eastAsia="Calibri" w:hAnsi="Calibri" w:cs="Times New Roman"/>
                <w:bCs/>
                <w:iCs/>
                <w:noProof/>
                <w:sz w:val="20"/>
                <w:szCs w:val="20"/>
                <w:lang w:val="fr-FR"/>
              </w:rPr>
              <w:t>annuels</w:t>
            </w:r>
            <w:r w:rsidR="0095203D" w:rsidRPr="00534F1D">
              <w:rPr>
                <w:rFonts w:ascii="Calibri" w:eastAsia="Calibri" w:hAnsi="Calibri" w:cs="Times New Roman"/>
                <w:bCs/>
                <w:iCs/>
                <w:noProof/>
                <w:sz w:val="20"/>
                <w:szCs w:val="20"/>
              </w:rPr>
              <w:t xml:space="preserve"> </w:t>
            </w:r>
            <w:r w:rsidRPr="00534F1D">
              <w:rPr>
                <w:rFonts w:ascii="Calibri" w:eastAsia="Calibri" w:hAnsi="Calibri" w:cs="Times New Roman"/>
                <w:bCs/>
                <w:iCs/>
                <w:noProof/>
                <w:sz w:val="20"/>
                <w:szCs w:val="20"/>
              </w:rPr>
              <w:t>validés, soumis dans les délais, sans observations majeures</w:t>
            </w:r>
          </w:p>
        </w:tc>
        <w:tc>
          <w:tcPr>
            <w:tcW w:w="2693" w:type="dxa"/>
            <w:tcBorders>
              <w:top w:val="single" w:sz="18" w:space="0" w:color="auto"/>
            </w:tcBorders>
          </w:tcPr>
          <w:p w14:paraId="5AE4087B" w14:textId="1381D129" w:rsidR="00215833" w:rsidRPr="001250E9" w:rsidRDefault="004F2774" w:rsidP="00EE0597">
            <w:pPr>
              <w:rPr>
                <w:rFonts w:ascii="Calibri" w:eastAsia="Calibri" w:hAnsi="Calibri" w:cs="Times New Roman"/>
                <w:bCs/>
                <w:iCs/>
                <w:noProof/>
                <w:sz w:val="20"/>
                <w:szCs w:val="20"/>
                <w:lang w:val="fr-FR"/>
              </w:rPr>
            </w:pPr>
            <w:r w:rsidRPr="00534F1D">
              <w:rPr>
                <w:rFonts w:ascii="Calibri" w:eastAsia="Calibri" w:hAnsi="Calibri" w:cs="Times New Roman"/>
                <w:bCs/>
                <w:iCs/>
                <w:noProof/>
                <w:sz w:val="20"/>
                <w:szCs w:val="20"/>
              </w:rPr>
              <w:t>0</w:t>
            </w:r>
            <w:r>
              <w:rPr>
                <w:rFonts w:ascii="Calibri" w:eastAsia="Calibri" w:hAnsi="Calibri" w:cs="Times New Roman"/>
                <w:bCs/>
                <w:iCs/>
                <w:noProof/>
                <w:sz w:val="20"/>
                <w:szCs w:val="20"/>
                <w:lang w:val="fr-FR"/>
              </w:rPr>
              <w:t>1</w:t>
            </w:r>
            <w:r w:rsidRPr="00534F1D">
              <w:rPr>
                <w:rFonts w:ascii="Calibri" w:eastAsia="Calibri" w:hAnsi="Calibri" w:cs="Times New Roman"/>
                <w:bCs/>
                <w:iCs/>
                <w:noProof/>
                <w:sz w:val="20"/>
                <w:szCs w:val="20"/>
              </w:rPr>
              <w:t xml:space="preserve"> </w:t>
            </w:r>
            <w:r>
              <w:rPr>
                <w:rFonts w:ascii="Calibri" w:eastAsia="Calibri" w:hAnsi="Calibri" w:cs="Times New Roman"/>
                <w:bCs/>
                <w:iCs/>
                <w:noProof/>
                <w:sz w:val="20"/>
                <w:szCs w:val="20"/>
                <w:lang w:val="fr-FR"/>
              </w:rPr>
              <w:t>mois</w:t>
            </w:r>
            <w:r w:rsidRPr="00534F1D">
              <w:rPr>
                <w:rFonts w:ascii="Calibri" w:eastAsia="Calibri" w:hAnsi="Calibri" w:cs="Times New Roman"/>
                <w:bCs/>
                <w:iCs/>
                <w:noProof/>
                <w:sz w:val="20"/>
                <w:szCs w:val="20"/>
              </w:rPr>
              <w:t xml:space="preserve"> </w:t>
            </w:r>
            <w:r w:rsidR="00215833" w:rsidRPr="00534F1D">
              <w:rPr>
                <w:rFonts w:ascii="Calibri" w:eastAsia="Calibri" w:hAnsi="Calibri" w:cs="Times New Roman"/>
                <w:bCs/>
                <w:iCs/>
                <w:noProof/>
                <w:sz w:val="20"/>
                <w:szCs w:val="20"/>
              </w:rPr>
              <w:t>au plus tard après la fin de la période</w:t>
            </w:r>
          </w:p>
        </w:tc>
      </w:tr>
      <w:tr w:rsidR="00215833" w:rsidRPr="00215833" w14:paraId="11B13080" w14:textId="77777777" w:rsidTr="00EE0597">
        <w:tc>
          <w:tcPr>
            <w:tcW w:w="625" w:type="dxa"/>
          </w:tcPr>
          <w:p w14:paraId="4A9325AB" w14:textId="77777777" w:rsidR="00215833" w:rsidRPr="00215833" w:rsidRDefault="00215833" w:rsidP="00215833">
            <w:pPr>
              <w:jc w:val="center"/>
              <w:rPr>
                <w:rFonts w:ascii="Calibri" w:eastAsia="Calibri" w:hAnsi="Calibri" w:cs="Times New Roman"/>
                <w:noProof/>
                <w:sz w:val="20"/>
                <w:szCs w:val="20"/>
              </w:rPr>
            </w:pPr>
            <w:r w:rsidRPr="00215833">
              <w:rPr>
                <w:rFonts w:ascii="Calibri" w:eastAsia="Calibri" w:hAnsi="Calibri" w:cs="Times New Roman"/>
                <w:noProof/>
                <w:sz w:val="20"/>
                <w:szCs w:val="20"/>
              </w:rPr>
              <w:t>1</w:t>
            </w:r>
          </w:p>
        </w:tc>
        <w:tc>
          <w:tcPr>
            <w:tcW w:w="5675" w:type="dxa"/>
          </w:tcPr>
          <w:p w14:paraId="0A18F00F" w14:textId="77777777" w:rsidR="00215833" w:rsidRPr="001250E9" w:rsidRDefault="00215833" w:rsidP="00215833">
            <w:pPr>
              <w:jc w:val="both"/>
              <w:rPr>
                <w:rFonts w:ascii="Calibri" w:eastAsia="Calibri" w:hAnsi="Calibri" w:cs="Times New Roman"/>
                <w:noProof/>
                <w:sz w:val="20"/>
                <w:szCs w:val="20"/>
                <w:lang w:val="fr-FR"/>
              </w:rPr>
            </w:pPr>
            <w:r w:rsidRPr="00534F1D">
              <w:rPr>
                <w:rFonts w:ascii="Calibri" w:eastAsia="Calibri" w:hAnsi="Calibri" w:cs="Times New Roman"/>
                <w:noProof/>
                <w:sz w:val="20"/>
                <w:szCs w:val="20"/>
              </w:rPr>
              <w:t>Recrutement de spécialistes E et S au sein de l’Unité de Gestion du Projet</w:t>
            </w:r>
          </w:p>
        </w:tc>
        <w:tc>
          <w:tcPr>
            <w:tcW w:w="1985" w:type="dxa"/>
          </w:tcPr>
          <w:p w14:paraId="79BE283E" w14:textId="51D8AE6A" w:rsidR="00215833" w:rsidRPr="00215833" w:rsidRDefault="00215833" w:rsidP="00EE0597">
            <w:pPr>
              <w:rPr>
                <w:rFonts w:ascii="Calibri" w:eastAsia="Calibri" w:hAnsi="Calibri" w:cs="Times New Roman"/>
                <w:bCs/>
                <w:iCs/>
                <w:noProof/>
                <w:sz w:val="20"/>
                <w:szCs w:val="20"/>
              </w:rPr>
            </w:pPr>
            <w:r w:rsidRPr="00215833">
              <w:rPr>
                <w:rFonts w:ascii="Calibri" w:eastAsia="Calibri" w:hAnsi="Calibri" w:cs="Times New Roman"/>
                <w:bCs/>
                <w:iCs/>
                <w:noProof/>
                <w:sz w:val="20"/>
                <w:szCs w:val="20"/>
              </w:rPr>
              <w:t>EIES, SO1</w:t>
            </w:r>
          </w:p>
        </w:tc>
        <w:tc>
          <w:tcPr>
            <w:tcW w:w="4394" w:type="dxa"/>
          </w:tcPr>
          <w:p w14:paraId="4C6AED01" w14:textId="082C3946" w:rsidR="009B2E8C" w:rsidRPr="001250E9" w:rsidRDefault="009B2E8C" w:rsidP="009B2E8C">
            <w:pPr>
              <w:tabs>
                <w:tab w:val="left" w:pos="0"/>
              </w:tabs>
              <w:rPr>
                <w:rFonts w:ascii="Times New Roman" w:eastAsia="Calibri" w:hAnsi="Times New Roman" w:cs="Times New Roman"/>
                <w:noProof/>
                <w:sz w:val="20"/>
                <w:szCs w:val="20"/>
                <w:lang w:val="fr-FR"/>
              </w:rPr>
            </w:pPr>
            <w:r w:rsidRPr="00534F1D">
              <w:rPr>
                <w:rFonts w:ascii="Times New Roman" w:eastAsia="Calibri" w:hAnsi="Times New Roman" w:cs="Times New Roman"/>
                <w:noProof/>
                <w:sz w:val="20"/>
                <w:szCs w:val="20"/>
              </w:rPr>
              <w:t>Spécialiste E&amp;S, chevronné dans l’UGP</w:t>
            </w:r>
          </w:p>
          <w:p w14:paraId="0F1AC697" w14:textId="3D1325A4" w:rsidR="00215833" w:rsidRPr="001250E9" w:rsidRDefault="009B2E8C" w:rsidP="00EE0597">
            <w:pPr>
              <w:tabs>
                <w:tab w:val="left" w:pos="0"/>
              </w:tabs>
              <w:rPr>
                <w:rFonts w:ascii="Times New Roman" w:eastAsia="Calibri" w:hAnsi="Times New Roman" w:cs="Times New Roman"/>
                <w:bCs/>
                <w:iCs/>
                <w:noProof/>
                <w:sz w:val="20"/>
                <w:szCs w:val="20"/>
                <w:lang w:val="fr-FR"/>
              </w:rPr>
            </w:pPr>
            <w:r w:rsidRPr="00534F1D">
              <w:rPr>
                <w:rFonts w:ascii="Times New Roman" w:eastAsia="Calibri" w:hAnsi="Times New Roman" w:cs="Times New Roman"/>
                <w:noProof/>
                <w:sz w:val="20"/>
                <w:szCs w:val="20"/>
              </w:rPr>
              <w:t>Note de prise de service</w:t>
            </w:r>
          </w:p>
        </w:tc>
        <w:tc>
          <w:tcPr>
            <w:tcW w:w="2693" w:type="dxa"/>
          </w:tcPr>
          <w:p w14:paraId="11415045" w14:textId="1A7E184A" w:rsidR="00215833" w:rsidRPr="001250E9" w:rsidRDefault="00215833" w:rsidP="00EE0597">
            <w:pPr>
              <w:rPr>
                <w:rFonts w:ascii="Calibri" w:eastAsia="Calibri" w:hAnsi="Calibri" w:cs="Times New Roman"/>
                <w:noProof/>
                <w:sz w:val="20"/>
                <w:szCs w:val="20"/>
                <w:lang w:val="fr-FR"/>
              </w:rPr>
            </w:pPr>
            <w:r w:rsidRPr="00534F1D">
              <w:rPr>
                <w:rFonts w:ascii="Calibri" w:eastAsia="Calibri" w:hAnsi="Calibri" w:cs="Times New Roman"/>
                <w:noProof/>
                <w:sz w:val="20"/>
                <w:szCs w:val="20"/>
              </w:rPr>
              <w:t>A</w:t>
            </w:r>
            <w:r w:rsidR="00CD2FA8" w:rsidRPr="00534F1D">
              <w:rPr>
                <w:rFonts w:ascii="Calibri" w:eastAsia="Calibri" w:hAnsi="Calibri" w:cs="Times New Roman"/>
                <w:noProof/>
                <w:sz w:val="20"/>
                <w:szCs w:val="20"/>
              </w:rPr>
              <w:t xml:space="preserve">vant </w:t>
            </w:r>
            <w:r w:rsidR="007852AD" w:rsidRPr="00534F1D">
              <w:rPr>
                <w:rFonts w:ascii="Calibri" w:eastAsia="Calibri" w:hAnsi="Calibri" w:cs="Times New Roman"/>
                <w:noProof/>
                <w:sz w:val="20"/>
                <w:szCs w:val="20"/>
              </w:rPr>
              <w:t xml:space="preserve">sa </w:t>
            </w:r>
            <w:r w:rsidRPr="00534F1D">
              <w:rPr>
                <w:rFonts w:ascii="Calibri" w:eastAsia="Calibri" w:hAnsi="Calibri" w:cs="Times New Roman"/>
                <w:noProof/>
                <w:sz w:val="20"/>
                <w:szCs w:val="20"/>
              </w:rPr>
              <w:t>mise en vigueur</w:t>
            </w:r>
          </w:p>
        </w:tc>
      </w:tr>
      <w:tr w:rsidR="00215833" w:rsidRPr="00215833" w14:paraId="66192A47" w14:textId="77777777" w:rsidTr="00EE0597">
        <w:tc>
          <w:tcPr>
            <w:tcW w:w="625" w:type="dxa"/>
          </w:tcPr>
          <w:p w14:paraId="559E5246" w14:textId="77777777" w:rsidR="00215833" w:rsidRPr="001250E9" w:rsidRDefault="00215833" w:rsidP="00215833">
            <w:pPr>
              <w:jc w:val="center"/>
              <w:rPr>
                <w:rFonts w:ascii="Calibri" w:eastAsia="Calibri" w:hAnsi="Calibri" w:cs="Times New Roman"/>
                <w:noProof/>
                <w:sz w:val="20"/>
                <w:szCs w:val="20"/>
                <w:lang w:val="fr-FR"/>
              </w:rPr>
            </w:pPr>
          </w:p>
          <w:p w14:paraId="35C734FA" w14:textId="77777777" w:rsidR="00215833" w:rsidRPr="00215833" w:rsidRDefault="00215833" w:rsidP="00215833">
            <w:pPr>
              <w:jc w:val="center"/>
              <w:rPr>
                <w:rFonts w:ascii="Calibri" w:eastAsia="Calibri" w:hAnsi="Calibri" w:cs="Times New Roman"/>
                <w:noProof/>
                <w:sz w:val="20"/>
                <w:szCs w:val="20"/>
              </w:rPr>
            </w:pPr>
            <w:r w:rsidRPr="00215833">
              <w:rPr>
                <w:rFonts w:ascii="Calibri" w:eastAsia="Calibri" w:hAnsi="Calibri" w:cs="Times New Roman"/>
                <w:noProof/>
                <w:sz w:val="20"/>
                <w:szCs w:val="20"/>
              </w:rPr>
              <w:t>2</w:t>
            </w:r>
          </w:p>
        </w:tc>
        <w:tc>
          <w:tcPr>
            <w:tcW w:w="5675" w:type="dxa"/>
          </w:tcPr>
          <w:p w14:paraId="364823BA" w14:textId="77777777" w:rsidR="00215833" w:rsidRPr="001250E9" w:rsidRDefault="00215833" w:rsidP="00215833">
            <w:pPr>
              <w:jc w:val="both"/>
              <w:rPr>
                <w:rFonts w:ascii="Calibri" w:eastAsia="Calibri" w:hAnsi="Calibri" w:cs="Times New Roman"/>
                <w:noProof/>
                <w:sz w:val="20"/>
                <w:szCs w:val="20"/>
                <w:lang w:val="fr-FR"/>
              </w:rPr>
            </w:pPr>
            <w:r w:rsidRPr="00534F1D">
              <w:rPr>
                <w:rFonts w:ascii="Calibri" w:eastAsia="Calibri" w:hAnsi="Calibri" w:cs="Times New Roman"/>
                <w:noProof/>
                <w:sz w:val="20"/>
                <w:szCs w:val="20"/>
              </w:rPr>
              <w:t>Mise en place du Mécanisme de Gestion des Plaintes (MGP) du projet et information au public</w:t>
            </w:r>
          </w:p>
        </w:tc>
        <w:tc>
          <w:tcPr>
            <w:tcW w:w="1985" w:type="dxa"/>
          </w:tcPr>
          <w:p w14:paraId="088F664C" w14:textId="77777777" w:rsidR="00215833" w:rsidRPr="001250E9" w:rsidRDefault="00215833" w:rsidP="00EE0597">
            <w:pPr>
              <w:rPr>
                <w:rFonts w:ascii="Calibri" w:eastAsia="Calibri" w:hAnsi="Calibri" w:cs="Times New Roman"/>
                <w:bCs/>
                <w:iCs/>
                <w:noProof/>
                <w:sz w:val="20"/>
                <w:szCs w:val="20"/>
                <w:lang w:val="fr-FR"/>
              </w:rPr>
            </w:pPr>
            <w:r w:rsidRPr="00534F1D">
              <w:rPr>
                <w:rFonts w:ascii="Calibri" w:eastAsia="Calibri" w:hAnsi="Calibri" w:cs="Times New Roman"/>
                <w:bCs/>
                <w:iCs/>
                <w:noProof/>
                <w:sz w:val="20"/>
                <w:szCs w:val="20"/>
              </w:rPr>
              <w:t>SO1, SO10 et exigences nationales</w:t>
            </w:r>
          </w:p>
        </w:tc>
        <w:tc>
          <w:tcPr>
            <w:tcW w:w="4394" w:type="dxa"/>
          </w:tcPr>
          <w:p w14:paraId="00542F48" w14:textId="7641D361" w:rsidR="00215833" w:rsidRPr="001250E9" w:rsidRDefault="00870660" w:rsidP="00EE0597">
            <w:pPr>
              <w:tabs>
                <w:tab w:val="left" w:pos="0"/>
              </w:tabs>
              <w:rPr>
                <w:rFonts w:ascii="Times New Roman" w:eastAsia="Calibri" w:hAnsi="Times New Roman" w:cs="Times New Roman"/>
                <w:bCs/>
                <w:iCs/>
                <w:noProof/>
                <w:sz w:val="20"/>
                <w:szCs w:val="20"/>
                <w:lang w:val="fr-FR"/>
              </w:rPr>
            </w:pPr>
            <w:r>
              <w:rPr>
                <w:rFonts w:ascii="Times New Roman" w:eastAsia="Calibri" w:hAnsi="Times New Roman" w:cs="Times New Roman"/>
                <w:bCs/>
                <w:iCs/>
                <w:noProof/>
                <w:sz w:val="20"/>
                <w:szCs w:val="20"/>
                <w:lang w:val="fr-FR"/>
              </w:rPr>
              <w:t>N</w:t>
            </w:r>
            <w:r w:rsidR="00667EF3">
              <w:rPr>
                <w:rFonts w:ascii="Times New Roman" w:eastAsia="Calibri" w:hAnsi="Times New Roman" w:cs="Times New Roman"/>
                <w:bCs/>
                <w:iCs/>
                <w:noProof/>
                <w:sz w:val="20"/>
                <w:szCs w:val="20"/>
                <w:lang w:val="fr-FR"/>
              </w:rPr>
              <w:t>/</w:t>
            </w:r>
            <w:r w:rsidR="00F7527D">
              <w:rPr>
                <w:rFonts w:ascii="Times New Roman" w:eastAsia="Calibri" w:hAnsi="Times New Roman" w:cs="Times New Roman"/>
                <w:bCs/>
                <w:iCs/>
                <w:noProof/>
                <w:sz w:val="20"/>
                <w:szCs w:val="20"/>
                <w:lang w:val="fr-FR"/>
              </w:rPr>
              <w:t>A</w:t>
            </w:r>
          </w:p>
        </w:tc>
        <w:tc>
          <w:tcPr>
            <w:tcW w:w="2693" w:type="dxa"/>
          </w:tcPr>
          <w:p w14:paraId="38A67D14" w14:textId="11B6C43F" w:rsidR="00215833" w:rsidRPr="00215833" w:rsidRDefault="00667EF3" w:rsidP="00EE0597">
            <w:pPr>
              <w:rPr>
                <w:rFonts w:ascii="Calibri" w:eastAsia="Calibri" w:hAnsi="Calibri" w:cs="Times New Roman"/>
                <w:noProof/>
                <w:sz w:val="20"/>
                <w:szCs w:val="20"/>
              </w:rPr>
            </w:pPr>
            <w:r>
              <w:rPr>
                <w:rFonts w:ascii="Calibri" w:eastAsia="Calibri" w:hAnsi="Calibri" w:cs="Times New Roman"/>
                <w:noProof/>
                <w:sz w:val="20"/>
                <w:szCs w:val="20"/>
              </w:rPr>
              <w:t xml:space="preserve"> N/A</w:t>
            </w:r>
          </w:p>
        </w:tc>
      </w:tr>
      <w:tr w:rsidR="00215833" w:rsidRPr="00215833" w14:paraId="7244F9BE" w14:textId="77777777" w:rsidTr="00EE0597">
        <w:tc>
          <w:tcPr>
            <w:tcW w:w="625" w:type="dxa"/>
          </w:tcPr>
          <w:p w14:paraId="6E77CEFD" w14:textId="77777777" w:rsidR="00215833" w:rsidRPr="00215833" w:rsidRDefault="00215833" w:rsidP="00215833">
            <w:pPr>
              <w:jc w:val="center"/>
              <w:rPr>
                <w:rFonts w:ascii="Calibri" w:eastAsia="Calibri" w:hAnsi="Calibri" w:cs="Times New Roman"/>
                <w:noProof/>
                <w:sz w:val="20"/>
                <w:szCs w:val="20"/>
              </w:rPr>
            </w:pPr>
            <w:r w:rsidRPr="00215833">
              <w:rPr>
                <w:rFonts w:ascii="Calibri" w:eastAsia="Calibri" w:hAnsi="Calibri" w:cs="Times New Roman"/>
                <w:noProof/>
                <w:sz w:val="20"/>
                <w:szCs w:val="20"/>
              </w:rPr>
              <w:t>3</w:t>
            </w:r>
          </w:p>
        </w:tc>
        <w:tc>
          <w:tcPr>
            <w:tcW w:w="5675" w:type="dxa"/>
          </w:tcPr>
          <w:p w14:paraId="054CC104" w14:textId="77777777" w:rsidR="00215833" w:rsidRPr="001250E9" w:rsidRDefault="00215833" w:rsidP="00215833">
            <w:pPr>
              <w:jc w:val="both"/>
              <w:rPr>
                <w:rFonts w:ascii="Calibri" w:eastAsia="Calibri" w:hAnsi="Calibri" w:cs="Times New Roman"/>
                <w:noProof/>
                <w:sz w:val="20"/>
                <w:szCs w:val="20"/>
                <w:lang w:val="fr-FR"/>
              </w:rPr>
            </w:pPr>
            <w:r w:rsidRPr="00534F1D">
              <w:rPr>
                <w:rFonts w:ascii="Calibri" w:eastAsia="Calibri" w:hAnsi="Calibri" w:cs="Times New Roman"/>
                <w:noProof/>
                <w:sz w:val="20"/>
                <w:szCs w:val="20"/>
              </w:rPr>
              <w:t>Paiement des compensations et réinstallation des personnes affectées</w:t>
            </w:r>
          </w:p>
        </w:tc>
        <w:tc>
          <w:tcPr>
            <w:tcW w:w="1985" w:type="dxa"/>
          </w:tcPr>
          <w:p w14:paraId="6C9568BA" w14:textId="77777777" w:rsidR="00215833" w:rsidRPr="00215833" w:rsidRDefault="00215833" w:rsidP="00EE0597">
            <w:pPr>
              <w:rPr>
                <w:rFonts w:ascii="Calibri" w:eastAsia="Calibri" w:hAnsi="Calibri" w:cs="Times New Roman"/>
                <w:noProof/>
                <w:sz w:val="20"/>
                <w:szCs w:val="20"/>
              </w:rPr>
            </w:pPr>
            <w:r w:rsidRPr="00215833">
              <w:rPr>
                <w:rFonts w:ascii="Calibri" w:eastAsia="Calibri" w:hAnsi="Calibri" w:cs="Times New Roman"/>
                <w:noProof/>
                <w:sz w:val="20"/>
                <w:szCs w:val="20"/>
              </w:rPr>
              <w:t>SO5</w:t>
            </w:r>
          </w:p>
        </w:tc>
        <w:tc>
          <w:tcPr>
            <w:tcW w:w="4394" w:type="dxa"/>
          </w:tcPr>
          <w:p w14:paraId="3ADFA334" w14:textId="2B936627" w:rsidR="00215833" w:rsidRPr="00215833" w:rsidRDefault="00F7527D" w:rsidP="00EE0597">
            <w:pPr>
              <w:tabs>
                <w:tab w:val="left" w:pos="0"/>
              </w:tabs>
              <w:rPr>
                <w:rFonts w:ascii="Times New Roman" w:eastAsia="Calibri" w:hAnsi="Times New Roman" w:cs="Times New Roman"/>
                <w:noProof/>
                <w:sz w:val="20"/>
                <w:szCs w:val="20"/>
              </w:rPr>
            </w:pPr>
            <w:r>
              <w:rPr>
                <w:rFonts w:ascii="Times New Roman" w:eastAsia="Calibri" w:hAnsi="Times New Roman" w:cs="Times New Roman"/>
                <w:noProof/>
                <w:sz w:val="20"/>
                <w:szCs w:val="20"/>
              </w:rPr>
              <w:t xml:space="preserve"> N</w:t>
            </w:r>
            <w:r w:rsidR="00667EF3">
              <w:rPr>
                <w:rFonts w:ascii="Times New Roman" w:eastAsia="Calibri" w:hAnsi="Times New Roman" w:cs="Times New Roman"/>
                <w:noProof/>
                <w:sz w:val="20"/>
                <w:szCs w:val="20"/>
              </w:rPr>
              <w:t>/</w:t>
            </w:r>
            <w:r>
              <w:rPr>
                <w:rFonts w:ascii="Times New Roman" w:eastAsia="Calibri" w:hAnsi="Times New Roman" w:cs="Times New Roman"/>
                <w:noProof/>
                <w:sz w:val="20"/>
                <w:szCs w:val="20"/>
              </w:rPr>
              <w:t>A</w:t>
            </w:r>
          </w:p>
        </w:tc>
        <w:tc>
          <w:tcPr>
            <w:tcW w:w="2693" w:type="dxa"/>
          </w:tcPr>
          <w:p w14:paraId="3084D0A4" w14:textId="5C9742B9" w:rsidR="00215833" w:rsidRPr="00215833" w:rsidRDefault="00667EF3" w:rsidP="00EE0597">
            <w:pPr>
              <w:rPr>
                <w:rFonts w:ascii="Calibri" w:eastAsia="Calibri" w:hAnsi="Calibri" w:cs="Times New Roman"/>
                <w:noProof/>
                <w:sz w:val="20"/>
                <w:szCs w:val="20"/>
              </w:rPr>
            </w:pPr>
            <w:r>
              <w:rPr>
                <w:rFonts w:ascii="Calibri" w:eastAsia="Calibri" w:hAnsi="Calibri" w:cs="Times New Roman"/>
                <w:noProof/>
                <w:sz w:val="20"/>
                <w:szCs w:val="20"/>
              </w:rPr>
              <w:t xml:space="preserve"> N/A</w:t>
            </w:r>
          </w:p>
        </w:tc>
      </w:tr>
      <w:tr w:rsidR="00215833" w:rsidRPr="00215833" w14:paraId="46B5C77F" w14:textId="77777777" w:rsidTr="00EE0597">
        <w:tc>
          <w:tcPr>
            <w:tcW w:w="625" w:type="dxa"/>
          </w:tcPr>
          <w:p w14:paraId="5B2DE9E1" w14:textId="77777777" w:rsidR="00215833" w:rsidRPr="00215833" w:rsidRDefault="00215833" w:rsidP="00215833">
            <w:pPr>
              <w:jc w:val="center"/>
              <w:rPr>
                <w:rFonts w:ascii="Calibri" w:eastAsia="Calibri" w:hAnsi="Calibri" w:cs="Times New Roman"/>
                <w:noProof/>
                <w:sz w:val="20"/>
                <w:szCs w:val="20"/>
              </w:rPr>
            </w:pPr>
            <w:r w:rsidRPr="00215833">
              <w:rPr>
                <w:rFonts w:ascii="Calibri" w:eastAsia="Calibri" w:hAnsi="Calibri" w:cs="Times New Roman"/>
                <w:noProof/>
                <w:sz w:val="20"/>
                <w:szCs w:val="20"/>
              </w:rPr>
              <w:t>4</w:t>
            </w:r>
          </w:p>
        </w:tc>
        <w:tc>
          <w:tcPr>
            <w:tcW w:w="5675" w:type="dxa"/>
          </w:tcPr>
          <w:p w14:paraId="0B724052" w14:textId="77777777" w:rsidR="00215833" w:rsidRPr="001250E9" w:rsidRDefault="00215833" w:rsidP="00215833">
            <w:pPr>
              <w:jc w:val="both"/>
              <w:rPr>
                <w:rFonts w:ascii="Calibri" w:eastAsia="Calibri" w:hAnsi="Calibri" w:cs="Times New Roman"/>
                <w:noProof/>
                <w:sz w:val="20"/>
                <w:szCs w:val="20"/>
                <w:lang w:val="fr-FR"/>
              </w:rPr>
            </w:pPr>
            <w:r w:rsidRPr="00534F1D">
              <w:rPr>
                <w:rFonts w:ascii="Calibri" w:eastAsia="Calibri" w:hAnsi="Calibri" w:cs="Times New Roman"/>
                <w:noProof/>
                <w:sz w:val="20"/>
                <w:szCs w:val="20"/>
              </w:rPr>
              <w:t>Intégration de mesures ESST spécifiques de site dans les DAO</w:t>
            </w:r>
          </w:p>
        </w:tc>
        <w:tc>
          <w:tcPr>
            <w:tcW w:w="1985" w:type="dxa"/>
          </w:tcPr>
          <w:p w14:paraId="391A4CA0" w14:textId="77777777" w:rsidR="00215833" w:rsidRPr="00215833" w:rsidRDefault="00215833" w:rsidP="00EE0597">
            <w:pPr>
              <w:rPr>
                <w:rFonts w:ascii="Calibri" w:eastAsia="Calibri" w:hAnsi="Calibri" w:cs="Times New Roman"/>
                <w:noProof/>
                <w:sz w:val="20"/>
                <w:szCs w:val="20"/>
              </w:rPr>
            </w:pPr>
            <w:r w:rsidRPr="00215833">
              <w:rPr>
                <w:rFonts w:ascii="Calibri" w:eastAsia="Calibri" w:hAnsi="Calibri" w:cs="Times New Roman"/>
                <w:sz w:val="20"/>
                <w:szCs w:val="20"/>
              </w:rPr>
              <w:t xml:space="preserve">SO1 et exigences </w:t>
            </w:r>
            <w:proofErr w:type="spellStart"/>
            <w:r w:rsidRPr="00215833">
              <w:rPr>
                <w:rFonts w:ascii="Calibri" w:eastAsia="Calibri" w:hAnsi="Calibri" w:cs="Times New Roman"/>
                <w:sz w:val="20"/>
                <w:szCs w:val="20"/>
              </w:rPr>
              <w:t>nationales</w:t>
            </w:r>
            <w:proofErr w:type="spellEnd"/>
          </w:p>
        </w:tc>
        <w:tc>
          <w:tcPr>
            <w:tcW w:w="4394" w:type="dxa"/>
          </w:tcPr>
          <w:p w14:paraId="40FA70DD" w14:textId="31E7A985" w:rsidR="00215833" w:rsidRPr="001250E9" w:rsidRDefault="00F7527D" w:rsidP="00EE0597">
            <w:pPr>
              <w:tabs>
                <w:tab w:val="left" w:pos="0"/>
              </w:tabs>
              <w:rPr>
                <w:rFonts w:ascii="Times New Roman" w:eastAsia="Calibri" w:hAnsi="Times New Roman" w:cs="Times New Roman"/>
                <w:noProof/>
                <w:sz w:val="20"/>
                <w:szCs w:val="20"/>
                <w:lang w:val="fr-FR"/>
              </w:rPr>
            </w:pPr>
            <w:r>
              <w:rPr>
                <w:rFonts w:ascii="Times New Roman" w:eastAsia="Calibri" w:hAnsi="Times New Roman" w:cs="Times New Roman"/>
                <w:noProof/>
                <w:sz w:val="20"/>
                <w:szCs w:val="20"/>
                <w:lang w:val="fr-FR"/>
              </w:rPr>
              <w:t xml:space="preserve"> N</w:t>
            </w:r>
            <w:r w:rsidR="00667EF3">
              <w:rPr>
                <w:rFonts w:ascii="Times New Roman" w:eastAsia="Calibri" w:hAnsi="Times New Roman" w:cs="Times New Roman"/>
                <w:noProof/>
                <w:sz w:val="20"/>
                <w:szCs w:val="20"/>
                <w:lang w:val="fr-FR"/>
              </w:rPr>
              <w:t>/</w:t>
            </w:r>
            <w:r>
              <w:rPr>
                <w:rFonts w:ascii="Times New Roman" w:eastAsia="Calibri" w:hAnsi="Times New Roman" w:cs="Times New Roman"/>
                <w:noProof/>
                <w:sz w:val="20"/>
                <w:szCs w:val="20"/>
                <w:lang w:val="fr-FR"/>
              </w:rPr>
              <w:t>A</w:t>
            </w:r>
          </w:p>
        </w:tc>
        <w:tc>
          <w:tcPr>
            <w:tcW w:w="2693" w:type="dxa"/>
          </w:tcPr>
          <w:p w14:paraId="62C8A6D9" w14:textId="6C0F69E2" w:rsidR="00215833" w:rsidRPr="00215833" w:rsidRDefault="00667EF3" w:rsidP="00EE0597">
            <w:pPr>
              <w:rPr>
                <w:rFonts w:ascii="Calibri" w:eastAsia="Calibri" w:hAnsi="Calibri" w:cs="Times New Roman"/>
                <w:noProof/>
                <w:sz w:val="20"/>
                <w:szCs w:val="20"/>
              </w:rPr>
            </w:pPr>
            <w:r>
              <w:rPr>
                <w:rFonts w:ascii="Calibri" w:eastAsia="Calibri" w:hAnsi="Calibri" w:cs="Times New Roman"/>
                <w:noProof/>
                <w:sz w:val="20"/>
                <w:szCs w:val="20"/>
              </w:rPr>
              <w:t xml:space="preserve"> N/A</w:t>
            </w:r>
          </w:p>
        </w:tc>
      </w:tr>
      <w:tr w:rsidR="00215833" w:rsidRPr="00215833" w14:paraId="110C3DFD" w14:textId="77777777" w:rsidTr="00EE0597">
        <w:tc>
          <w:tcPr>
            <w:tcW w:w="625" w:type="dxa"/>
          </w:tcPr>
          <w:p w14:paraId="46B325DC" w14:textId="77777777" w:rsidR="00215833" w:rsidRPr="00215833" w:rsidRDefault="00215833" w:rsidP="00215833">
            <w:pPr>
              <w:jc w:val="center"/>
              <w:rPr>
                <w:rFonts w:ascii="Calibri" w:eastAsia="Calibri" w:hAnsi="Calibri" w:cs="Times New Roman"/>
                <w:noProof/>
                <w:sz w:val="20"/>
                <w:szCs w:val="20"/>
              </w:rPr>
            </w:pPr>
          </w:p>
          <w:p w14:paraId="61C030C7" w14:textId="77777777" w:rsidR="00215833" w:rsidRPr="00215833" w:rsidRDefault="00215833" w:rsidP="00215833">
            <w:pPr>
              <w:jc w:val="center"/>
              <w:rPr>
                <w:rFonts w:ascii="Calibri" w:eastAsia="Calibri" w:hAnsi="Calibri" w:cs="Times New Roman"/>
                <w:noProof/>
                <w:sz w:val="20"/>
                <w:szCs w:val="20"/>
              </w:rPr>
            </w:pPr>
            <w:r w:rsidRPr="00215833">
              <w:rPr>
                <w:rFonts w:ascii="Calibri" w:eastAsia="Calibri" w:hAnsi="Calibri" w:cs="Times New Roman"/>
                <w:noProof/>
                <w:sz w:val="20"/>
                <w:szCs w:val="20"/>
              </w:rPr>
              <w:t>5</w:t>
            </w:r>
          </w:p>
        </w:tc>
        <w:tc>
          <w:tcPr>
            <w:tcW w:w="5675" w:type="dxa"/>
          </w:tcPr>
          <w:p w14:paraId="251C238D" w14:textId="77777777" w:rsidR="00215833" w:rsidRPr="001250E9" w:rsidRDefault="00215833" w:rsidP="00215833">
            <w:pPr>
              <w:jc w:val="both"/>
              <w:rPr>
                <w:rFonts w:ascii="Calibri" w:eastAsia="Calibri" w:hAnsi="Calibri" w:cs="Times New Roman"/>
                <w:noProof/>
                <w:sz w:val="20"/>
                <w:szCs w:val="20"/>
                <w:lang w:val="fr-FR"/>
              </w:rPr>
            </w:pPr>
            <w:r w:rsidRPr="00534F1D">
              <w:rPr>
                <w:rFonts w:ascii="Calibri" w:eastAsia="Calibri" w:hAnsi="Calibri" w:cs="Times New Roman"/>
                <w:noProof/>
                <w:sz w:val="20"/>
                <w:szCs w:val="20"/>
              </w:rPr>
              <w:t>Soumission du PGES-Chantier (PGES-C) sur les activités à haut-risque de l’entrepreneur à la revue de la Banque</w:t>
            </w:r>
          </w:p>
        </w:tc>
        <w:tc>
          <w:tcPr>
            <w:tcW w:w="1985" w:type="dxa"/>
          </w:tcPr>
          <w:p w14:paraId="438CA938" w14:textId="77777777" w:rsidR="00215833" w:rsidRPr="001250E9" w:rsidRDefault="00215833" w:rsidP="00EE0597">
            <w:pPr>
              <w:rPr>
                <w:rFonts w:ascii="Calibri" w:eastAsia="Calibri" w:hAnsi="Calibri" w:cs="Times New Roman"/>
                <w:noProof/>
                <w:sz w:val="20"/>
                <w:szCs w:val="20"/>
                <w:lang w:val="fr-FR"/>
              </w:rPr>
            </w:pPr>
            <w:r w:rsidRPr="00534F1D">
              <w:rPr>
                <w:rFonts w:ascii="Calibri" w:eastAsia="Calibri" w:hAnsi="Calibri" w:cs="Times New Roman"/>
                <w:sz w:val="20"/>
                <w:szCs w:val="20"/>
              </w:rPr>
              <w:t>PES de la Banque et SO1</w:t>
            </w:r>
          </w:p>
        </w:tc>
        <w:tc>
          <w:tcPr>
            <w:tcW w:w="4394" w:type="dxa"/>
          </w:tcPr>
          <w:p w14:paraId="0644B0C0" w14:textId="265DF9B7" w:rsidR="00215833" w:rsidRPr="001250E9" w:rsidRDefault="00F7527D" w:rsidP="00EE0597">
            <w:pPr>
              <w:tabs>
                <w:tab w:val="left" w:pos="0"/>
              </w:tabs>
              <w:rPr>
                <w:rFonts w:ascii="Times New Roman" w:eastAsia="Calibri" w:hAnsi="Times New Roman" w:cs="Times New Roman"/>
                <w:noProof/>
                <w:sz w:val="20"/>
                <w:szCs w:val="20"/>
                <w:lang w:val="fr-FR"/>
              </w:rPr>
            </w:pPr>
            <w:r>
              <w:rPr>
                <w:rFonts w:ascii="Times New Roman" w:eastAsia="Calibri" w:hAnsi="Times New Roman" w:cs="Times New Roman"/>
                <w:noProof/>
                <w:sz w:val="20"/>
                <w:szCs w:val="20"/>
                <w:lang w:val="fr-FR"/>
              </w:rPr>
              <w:t>N</w:t>
            </w:r>
            <w:r w:rsidR="00667EF3">
              <w:rPr>
                <w:rFonts w:ascii="Times New Roman" w:eastAsia="Calibri" w:hAnsi="Times New Roman" w:cs="Times New Roman"/>
                <w:noProof/>
                <w:sz w:val="20"/>
                <w:szCs w:val="20"/>
                <w:lang w:val="fr-FR"/>
              </w:rPr>
              <w:t>/</w:t>
            </w:r>
            <w:r>
              <w:rPr>
                <w:rFonts w:ascii="Times New Roman" w:eastAsia="Calibri" w:hAnsi="Times New Roman" w:cs="Times New Roman"/>
                <w:noProof/>
                <w:sz w:val="20"/>
                <w:szCs w:val="20"/>
                <w:lang w:val="fr-FR"/>
              </w:rPr>
              <w:t>A</w:t>
            </w:r>
          </w:p>
        </w:tc>
        <w:tc>
          <w:tcPr>
            <w:tcW w:w="2693" w:type="dxa"/>
          </w:tcPr>
          <w:p w14:paraId="143D5C57" w14:textId="5A0FC417" w:rsidR="00215833" w:rsidRPr="00215833" w:rsidRDefault="00667EF3" w:rsidP="00EE0597">
            <w:pPr>
              <w:rPr>
                <w:rFonts w:ascii="Calibri" w:eastAsia="Calibri" w:hAnsi="Calibri" w:cs="Times New Roman"/>
                <w:noProof/>
                <w:sz w:val="20"/>
                <w:szCs w:val="20"/>
              </w:rPr>
            </w:pPr>
            <w:r>
              <w:rPr>
                <w:rFonts w:ascii="Calibri" w:eastAsia="Calibri" w:hAnsi="Calibri" w:cs="Times New Roman"/>
                <w:noProof/>
                <w:sz w:val="20"/>
                <w:szCs w:val="20"/>
              </w:rPr>
              <w:t xml:space="preserve"> N</w:t>
            </w:r>
            <w:r w:rsidR="007E3507">
              <w:rPr>
                <w:rFonts w:ascii="Calibri" w:eastAsia="Calibri" w:hAnsi="Calibri" w:cs="Times New Roman"/>
                <w:noProof/>
                <w:sz w:val="20"/>
                <w:szCs w:val="20"/>
              </w:rPr>
              <w:t>/A</w:t>
            </w:r>
          </w:p>
        </w:tc>
      </w:tr>
      <w:tr w:rsidR="00215833" w:rsidRPr="00215833" w14:paraId="397ECCE1" w14:textId="77777777" w:rsidTr="00EE0597">
        <w:tc>
          <w:tcPr>
            <w:tcW w:w="625" w:type="dxa"/>
          </w:tcPr>
          <w:p w14:paraId="1DB2D839" w14:textId="77777777" w:rsidR="00215833" w:rsidRPr="00215833" w:rsidRDefault="00215833" w:rsidP="00215833">
            <w:pPr>
              <w:jc w:val="center"/>
              <w:rPr>
                <w:rFonts w:ascii="Calibri" w:eastAsia="Calibri" w:hAnsi="Calibri" w:cs="Times New Roman"/>
                <w:noProof/>
                <w:sz w:val="20"/>
                <w:szCs w:val="20"/>
              </w:rPr>
            </w:pPr>
          </w:p>
          <w:p w14:paraId="711DB6DB" w14:textId="77777777" w:rsidR="00215833" w:rsidRPr="00215833" w:rsidRDefault="00215833" w:rsidP="00215833">
            <w:pPr>
              <w:jc w:val="center"/>
              <w:rPr>
                <w:rFonts w:ascii="Calibri" w:eastAsia="Calibri" w:hAnsi="Calibri" w:cs="Times New Roman"/>
                <w:noProof/>
                <w:sz w:val="20"/>
                <w:szCs w:val="20"/>
              </w:rPr>
            </w:pPr>
            <w:r w:rsidRPr="00215833">
              <w:rPr>
                <w:rFonts w:ascii="Calibri" w:eastAsia="Calibri" w:hAnsi="Calibri" w:cs="Times New Roman"/>
                <w:noProof/>
                <w:sz w:val="20"/>
                <w:szCs w:val="20"/>
              </w:rPr>
              <w:t>6</w:t>
            </w:r>
          </w:p>
        </w:tc>
        <w:tc>
          <w:tcPr>
            <w:tcW w:w="5675" w:type="dxa"/>
          </w:tcPr>
          <w:p w14:paraId="1BFCD996" w14:textId="77777777" w:rsidR="00215833" w:rsidRPr="001250E9" w:rsidRDefault="00215833" w:rsidP="00215833">
            <w:pPr>
              <w:jc w:val="both"/>
              <w:rPr>
                <w:rFonts w:ascii="Calibri" w:eastAsia="Calibri" w:hAnsi="Calibri" w:cs="Times New Roman"/>
                <w:noProof/>
                <w:sz w:val="20"/>
                <w:szCs w:val="20"/>
                <w:lang w:val="fr-FR"/>
              </w:rPr>
            </w:pPr>
            <w:r w:rsidRPr="00534F1D">
              <w:rPr>
                <w:rFonts w:ascii="Calibri" w:eastAsia="Calibri" w:hAnsi="Calibri" w:cs="Times New Roman"/>
                <w:noProof/>
                <w:sz w:val="20"/>
                <w:szCs w:val="20"/>
              </w:rPr>
              <w:t>Mise en place du Mécanisme de Gestion des Plaintes de l’entrepreneur (MGP) et information des travailleurs</w:t>
            </w:r>
          </w:p>
        </w:tc>
        <w:tc>
          <w:tcPr>
            <w:tcW w:w="1985" w:type="dxa"/>
          </w:tcPr>
          <w:p w14:paraId="4E3403DE" w14:textId="77777777" w:rsidR="00215833" w:rsidRPr="001250E9" w:rsidRDefault="00215833" w:rsidP="00EE0597">
            <w:pPr>
              <w:rPr>
                <w:rFonts w:ascii="Calibri" w:eastAsia="Calibri" w:hAnsi="Calibri" w:cs="Times New Roman"/>
                <w:noProof/>
                <w:sz w:val="20"/>
                <w:szCs w:val="20"/>
                <w:lang w:val="fr-FR"/>
              </w:rPr>
            </w:pPr>
            <w:r w:rsidRPr="00534F1D">
              <w:rPr>
                <w:rFonts w:ascii="Calibri" w:eastAsia="Calibri" w:hAnsi="Calibri" w:cs="Times New Roman"/>
                <w:sz w:val="20"/>
                <w:szCs w:val="20"/>
              </w:rPr>
              <w:t>SO1, SO2, SO10 et Politique de diffusion et d’accès à l’information de la Banque</w:t>
            </w:r>
          </w:p>
        </w:tc>
        <w:tc>
          <w:tcPr>
            <w:tcW w:w="4394" w:type="dxa"/>
          </w:tcPr>
          <w:p w14:paraId="3C853437" w14:textId="71D58A67" w:rsidR="00215833" w:rsidRPr="001250E9" w:rsidRDefault="00F7527D" w:rsidP="00EE0597">
            <w:pPr>
              <w:tabs>
                <w:tab w:val="left" w:pos="0"/>
              </w:tabs>
              <w:rPr>
                <w:rFonts w:ascii="Times New Roman" w:eastAsia="Calibri" w:hAnsi="Times New Roman" w:cs="Times New Roman"/>
                <w:noProof/>
                <w:sz w:val="20"/>
                <w:szCs w:val="20"/>
                <w:lang w:val="fr-FR"/>
              </w:rPr>
            </w:pPr>
            <w:r>
              <w:rPr>
                <w:rFonts w:ascii="Times New Roman" w:eastAsia="Calibri" w:hAnsi="Times New Roman" w:cs="Times New Roman"/>
                <w:noProof/>
                <w:sz w:val="20"/>
                <w:szCs w:val="20"/>
                <w:lang w:val="fr-FR"/>
              </w:rPr>
              <w:t>N</w:t>
            </w:r>
            <w:r w:rsidR="007E3507">
              <w:rPr>
                <w:rFonts w:ascii="Times New Roman" w:eastAsia="Calibri" w:hAnsi="Times New Roman" w:cs="Times New Roman"/>
                <w:noProof/>
                <w:sz w:val="20"/>
                <w:szCs w:val="20"/>
                <w:lang w:val="fr-FR"/>
              </w:rPr>
              <w:t>/</w:t>
            </w:r>
            <w:r>
              <w:rPr>
                <w:rFonts w:ascii="Times New Roman" w:eastAsia="Calibri" w:hAnsi="Times New Roman" w:cs="Times New Roman"/>
                <w:noProof/>
                <w:sz w:val="20"/>
                <w:szCs w:val="20"/>
                <w:lang w:val="fr-FR"/>
              </w:rPr>
              <w:t>A</w:t>
            </w:r>
          </w:p>
        </w:tc>
        <w:tc>
          <w:tcPr>
            <w:tcW w:w="2693" w:type="dxa"/>
          </w:tcPr>
          <w:p w14:paraId="5D30F047" w14:textId="282B7D8B" w:rsidR="00215833" w:rsidRPr="00215833" w:rsidRDefault="007E3507" w:rsidP="00EE0597">
            <w:pPr>
              <w:rPr>
                <w:rFonts w:ascii="Calibri" w:eastAsia="Calibri" w:hAnsi="Calibri" w:cs="Times New Roman"/>
                <w:noProof/>
                <w:sz w:val="20"/>
                <w:szCs w:val="20"/>
              </w:rPr>
            </w:pPr>
            <w:r>
              <w:rPr>
                <w:rFonts w:ascii="Calibri" w:eastAsia="Calibri" w:hAnsi="Calibri" w:cs="Times New Roman"/>
                <w:noProof/>
                <w:sz w:val="20"/>
                <w:szCs w:val="20"/>
              </w:rPr>
              <w:t xml:space="preserve"> N/A</w:t>
            </w:r>
          </w:p>
        </w:tc>
      </w:tr>
      <w:tr w:rsidR="00215833" w:rsidRPr="00215833" w14:paraId="322B52C7" w14:textId="77777777" w:rsidTr="00EE0597">
        <w:tc>
          <w:tcPr>
            <w:tcW w:w="625" w:type="dxa"/>
          </w:tcPr>
          <w:p w14:paraId="50869B98" w14:textId="77777777" w:rsidR="00215833" w:rsidRPr="00215833" w:rsidRDefault="00215833" w:rsidP="00215833">
            <w:pPr>
              <w:jc w:val="center"/>
              <w:rPr>
                <w:rFonts w:ascii="Calibri" w:eastAsia="Calibri" w:hAnsi="Calibri" w:cs="Times New Roman"/>
                <w:noProof/>
                <w:sz w:val="20"/>
                <w:szCs w:val="20"/>
              </w:rPr>
            </w:pPr>
          </w:p>
          <w:p w14:paraId="570BF779" w14:textId="77777777" w:rsidR="00215833" w:rsidRPr="00215833" w:rsidRDefault="00215833" w:rsidP="00215833">
            <w:pPr>
              <w:jc w:val="center"/>
              <w:rPr>
                <w:rFonts w:ascii="Calibri" w:eastAsia="Calibri" w:hAnsi="Calibri" w:cs="Times New Roman"/>
                <w:noProof/>
                <w:sz w:val="20"/>
                <w:szCs w:val="20"/>
              </w:rPr>
            </w:pPr>
            <w:r w:rsidRPr="00215833">
              <w:rPr>
                <w:rFonts w:ascii="Calibri" w:eastAsia="Calibri" w:hAnsi="Calibri" w:cs="Times New Roman"/>
                <w:noProof/>
                <w:sz w:val="20"/>
                <w:szCs w:val="20"/>
              </w:rPr>
              <w:t>7</w:t>
            </w:r>
          </w:p>
        </w:tc>
        <w:tc>
          <w:tcPr>
            <w:tcW w:w="5675" w:type="dxa"/>
          </w:tcPr>
          <w:p w14:paraId="0121D452" w14:textId="77777777" w:rsidR="00215833" w:rsidRPr="001250E9" w:rsidRDefault="00215833" w:rsidP="00215833">
            <w:pPr>
              <w:jc w:val="both"/>
              <w:rPr>
                <w:rFonts w:ascii="Calibri" w:eastAsia="Calibri" w:hAnsi="Calibri" w:cs="Times New Roman"/>
                <w:noProof/>
                <w:sz w:val="20"/>
                <w:szCs w:val="20"/>
                <w:lang w:val="fr-FR"/>
              </w:rPr>
            </w:pPr>
            <w:r w:rsidRPr="00534F1D">
              <w:rPr>
                <w:rFonts w:ascii="Calibri" w:eastAsia="Calibri" w:hAnsi="Calibri" w:cs="Times New Roman"/>
                <w:noProof/>
                <w:sz w:val="20"/>
                <w:szCs w:val="20"/>
              </w:rPr>
              <w:t xml:space="preserve">Obtention des permis nationaux avant le début des activités assujetties à autorisations préalables (excavations, abattage d’arbres, travail en hauteur, travail en espaces clos, etc.)  </w:t>
            </w:r>
          </w:p>
        </w:tc>
        <w:tc>
          <w:tcPr>
            <w:tcW w:w="1985" w:type="dxa"/>
          </w:tcPr>
          <w:p w14:paraId="09DB0ED5" w14:textId="77777777" w:rsidR="00215833" w:rsidRPr="001250E9" w:rsidRDefault="00215833" w:rsidP="00EE0597">
            <w:pPr>
              <w:rPr>
                <w:rFonts w:ascii="Calibri" w:eastAsia="Calibri" w:hAnsi="Calibri" w:cs="Times New Roman"/>
                <w:noProof/>
                <w:sz w:val="20"/>
                <w:szCs w:val="20"/>
                <w:lang w:val="fr-FR"/>
              </w:rPr>
            </w:pPr>
            <w:r w:rsidRPr="00534F1D">
              <w:rPr>
                <w:rFonts w:ascii="Calibri" w:eastAsia="Calibri" w:hAnsi="Calibri" w:cs="Times New Roman"/>
                <w:sz w:val="20"/>
                <w:szCs w:val="20"/>
              </w:rPr>
              <w:t>SO1, SO2 et législation nationale du travail</w:t>
            </w:r>
          </w:p>
        </w:tc>
        <w:tc>
          <w:tcPr>
            <w:tcW w:w="4394" w:type="dxa"/>
          </w:tcPr>
          <w:p w14:paraId="33D4A7F8" w14:textId="277BF52B" w:rsidR="00215833" w:rsidRPr="001250E9" w:rsidRDefault="00F7527D" w:rsidP="00EE0597">
            <w:pPr>
              <w:tabs>
                <w:tab w:val="left" w:pos="0"/>
              </w:tabs>
              <w:rPr>
                <w:rFonts w:ascii="Times New Roman" w:eastAsia="Calibri" w:hAnsi="Times New Roman" w:cs="Times New Roman"/>
                <w:noProof/>
                <w:sz w:val="20"/>
                <w:szCs w:val="20"/>
                <w:lang w:val="fr-FR"/>
              </w:rPr>
            </w:pPr>
            <w:r>
              <w:rPr>
                <w:rFonts w:ascii="Times New Roman" w:eastAsia="Calibri" w:hAnsi="Times New Roman" w:cs="Times New Roman"/>
                <w:noProof/>
                <w:sz w:val="20"/>
                <w:szCs w:val="20"/>
                <w:lang w:val="fr-FR"/>
              </w:rPr>
              <w:t xml:space="preserve"> N</w:t>
            </w:r>
            <w:r w:rsidR="007E3507">
              <w:rPr>
                <w:rFonts w:ascii="Times New Roman" w:eastAsia="Calibri" w:hAnsi="Times New Roman" w:cs="Times New Roman"/>
                <w:noProof/>
                <w:sz w:val="20"/>
                <w:szCs w:val="20"/>
                <w:lang w:val="fr-FR"/>
              </w:rPr>
              <w:t>/</w:t>
            </w:r>
            <w:r>
              <w:rPr>
                <w:rFonts w:ascii="Times New Roman" w:eastAsia="Calibri" w:hAnsi="Times New Roman" w:cs="Times New Roman"/>
                <w:noProof/>
                <w:sz w:val="20"/>
                <w:szCs w:val="20"/>
                <w:lang w:val="fr-FR"/>
              </w:rPr>
              <w:t>A</w:t>
            </w:r>
          </w:p>
        </w:tc>
        <w:tc>
          <w:tcPr>
            <w:tcW w:w="2693" w:type="dxa"/>
          </w:tcPr>
          <w:p w14:paraId="003CA8FB" w14:textId="59794AE3" w:rsidR="00215833" w:rsidRPr="00215833" w:rsidRDefault="007E3507" w:rsidP="00EE0597">
            <w:pPr>
              <w:rPr>
                <w:rFonts w:ascii="Calibri" w:eastAsia="Calibri" w:hAnsi="Calibri" w:cs="Times New Roman"/>
                <w:noProof/>
                <w:sz w:val="20"/>
                <w:szCs w:val="20"/>
              </w:rPr>
            </w:pPr>
            <w:r>
              <w:rPr>
                <w:rFonts w:ascii="Calibri" w:eastAsia="Calibri" w:hAnsi="Calibri" w:cs="Times New Roman"/>
                <w:noProof/>
                <w:sz w:val="20"/>
                <w:szCs w:val="20"/>
              </w:rPr>
              <w:t xml:space="preserve"> N/A</w:t>
            </w:r>
          </w:p>
        </w:tc>
      </w:tr>
      <w:tr w:rsidR="00215833" w:rsidRPr="00215833" w14:paraId="3757F74A" w14:textId="77777777" w:rsidTr="00EE0597">
        <w:tc>
          <w:tcPr>
            <w:tcW w:w="625" w:type="dxa"/>
          </w:tcPr>
          <w:p w14:paraId="43137738" w14:textId="77777777" w:rsidR="00215833" w:rsidRPr="00215833" w:rsidRDefault="00215833" w:rsidP="00215833">
            <w:pPr>
              <w:jc w:val="center"/>
              <w:rPr>
                <w:rFonts w:ascii="Calibri" w:eastAsia="Calibri" w:hAnsi="Calibri" w:cs="Times New Roman"/>
                <w:noProof/>
                <w:sz w:val="20"/>
                <w:szCs w:val="20"/>
              </w:rPr>
            </w:pPr>
          </w:p>
          <w:p w14:paraId="5CD18488" w14:textId="77777777" w:rsidR="00215833" w:rsidRPr="00215833" w:rsidRDefault="00215833" w:rsidP="00215833">
            <w:pPr>
              <w:jc w:val="center"/>
              <w:rPr>
                <w:rFonts w:ascii="Calibri" w:eastAsia="Calibri" w:hAnsi="Calibri" w:cs="Times New Roman"/>
                <w:noProof/>
                <w:sz w:val="20"/>
                <w:szCs w:val="20"/>
              </w:rPr>
            </w:pPr>
            <w:r w:rsidRPr="00215833">
              <w:rPr>
                <w:rFonts w:ascii="Calibri" w:eastAsia="Calibri" w:hAnsi="Calibri" w:cs="Times New Roman"/>
                <w:noProof/>
                <w:sz w:val="20"/>
                <w:szCs w:val="20"/>
              </w:rPr>
              <w:t>8</w:t>
            </w:r>
          </w:p>
        </w:tc>
        <w:tc>
          <w:tcPr>
            <w:tcW w:w="5675" w:type="dxa"/>
          </w:tcPr>
          <w:p w14:paraId="6CD64E30" w14:textId="77777777" w:rsidR="00215833" w:rsidRPr="001250E9" w:rsidRDefault="00215833" w:rsidP="00215833">
            <w:pPr>
              <w:jc w:val="both"/>
              <w:rPr>
                <w:rFonts w:ascii="Calibri" w:eastAsia="Calibri" w:hAnsi="Calibri" w:cs="Times New Roman"/>
                <w:noProof/>
                <w:sz w:val="20"/>
                <w:szCs w:val="20"/>
                <w:lang w:val="fr-FR"/>
              </w:rPr>
            </w:pPr>
            <w:r w:rsidRPr="00534F1D">
              <w:rPr>
                <w:rFonts w:ascii="Calibri" w:eastAsia="Calibri" w:hAnsi="Calibri" w:cs="Times New Roman"/>
                <w:noProof/>
                <w:sz w:val="20"/>
                <w:szCs w:val="20"/>
              </w:rPr>
              <w:t xml:space="preserve">Préparation, approbation et publication de documents E&amp;S spécifiques pendant la mise en œuvre du projet, y compris la revue préalable par la Banque des TDRs pour les activités de catégorie 1 </w:t>
            </w:r>
          </w:p>
        </w:tc>
        <w:tc>
          <w:tcPr>
            <w:tcW w:w="1985" w:type="dxa"/>
          </w:tcPr>
          <w:p w14:paraId="74828025" w14:textId="77777777" w:rsidR="00215833" w:rsidRPr="001250E9" w:rsidRDefault="00215833" w:rsidP="00EE0597">
            <w:pPr>
              <w:rPr>
                <w:rFonts w:ascii="Calibri" w:eastAsia="Calibri" w:hAnsi="Calibri" w:cs="Times New Roman"/>
                <w:noProof/>
                <w:sz w:val="20"/>
                <w:szCs w:val="20"/>
                <w:lang w:val="fr-FR"/>
              </w:rPr>
            </w:pPr>
            <w:r w:rsidRPr="00534F1D">
              <w:rPr>
                <w:rFonts w:ascii="Calibri" w:eastAsia="Calibri" w:hAnsi="Calibri" w:cs="Times New Roman"/>
                <w:sz w:val="20"/>
                <w:szCs w:val="20"/>
              </w:rPr>
              <w:t>PES de la Banque, SO1 et règlementation nationale</w:t>
            </w:r>
          </w:p>
        </w:tc>
        <w:tc>
          <w:tcPr>
            <w:tcW w:w="4394" w:type="dxa"/>
          </w:tcPr>
          <w:p w14:paraId="4D7AFD42" w14:textId="1D3ABF42" w:rsidR="00215833" w:rsidRPr="001250E9" w:rsidRDefault="00C17B90" w:rsidP="00EE0597">
            <w:pPr>
              <w:tabs>
                <w:tab w:val="left" w:pos="0"/>
              </w:tabs>
              <w:rPr>
                <w:rFonts w:ascii="Times New Roman" w:eastAsia="Calibri" w:hAnsi="Times New Roman" w:cs="Times New Roman"/>
                <w:noProof/>
                <w:sz w:val="20"/>
                <w:szCs w:val="20"/>
                <w:lang w:val="fr-FR"/>
              </w:rPr>
            </w:pPr>
            <w:r>
              <w:rPr>
                <w:rFonts w:ascii="Times New Roman" w:eastAsia="Calibri" w:hAnsi="Times New Roman" w:cs="Times New Roman"/>
                <w:noProof/>
                <w:sz w:val="20"/>
                <w:szCs w:val="20"/>
                <w:lang w:val="fr-FR"/>
              </w:rPr>
              <w:t>Tous les instruments requis</w:t>
            </w:r>
            <w:r w:rsidR="0018242A">
              <w:rPr>
                <w:rFonts w:ascii="Times New Roman" w:eastAsia="Calibri" w:hAnsi="Times New Roman" w:cs="Times New Roman"/>
                <w:noProof/>
                <w:sz w:val="20"/>
                <w:szCs w:val="20"/>
                <w:lang w:val="fr-FR"/>
              </w:rPr>
              <w:t xml:space="preserve"> pour </w:t>
            </w:r>
            <w:r w:rsidR="0018242A" w:rsidRPr="0018242A">
              <w:rPr>
                <w:rFonts w:ascii="Times New Roman" w:eastAsia="Calibri" w:hAnsi="Times New Roman" w:cs="Times New Roman"/>
                <w:bCs/>
                <w:noProof/>
                <w:sz w:val="20"/>
                <w:szCs w:val="20"/>
                <w:lang w:val="fr-FR"/>
              </w:rPr>
              <w:t>des investissements/</w:t>
            </w:r>
            <w:r w:rsidR="0018242A">
              <w:rPr>
                <w:rFonts w:ascii="Times New Roman" w:eastAsia="Calibri" w:hAnsi="Times New Roman" w:cs="Times New Roman"/>
                <w:bCs/>
                <w:noProof/>
                <w:sz w:val="20"/>
                <w:szCs w:val="20"/>
                <w:lang w:val="fr-FR"/>
              </w:rPr>
              <w:t xml:space="preserve"> </w:t>
            </w:r>
            <w:r w:rsidR="0018242A" w:rsidRPr="0018242A">
              <w:rPr>
                <w:rFonts w:ascii="Times New Roman" w:eastAsia="Calibri" w:hAnsi="Times New Roman" w:cs="Times New Roman"/>
                <w:bCs/>
                <w:noProof/>
                <w:sz w:val="20"/>
                <w:szCs w:val="20"/>
                <w:lang w:val="fr-FR"/>
              </w:rPr>
              <w:t>aménagements retenus</w:t>
            </w:r>
            <w:r w:rsidR="00DD55FA">
              <w:rPr>
                <w:rFonts w:ascii="Times New Roman" w:eastAsia="Calibri" w:hAnsi="Times New Roman" w:cs="Times New Roman"/>
                <w:noProof/>
                <w:sz w:val="20"/>
                <w:szCs w:val="20"/>
                <w:lang w:val="fr-FR"/>
              </w:rPr>
              <w:t xml:space="preserve">, dont </w:t>
            </w:r>
            <w:r w:rsidR="000529B8">
              <w:rPr>
                <w:rFonts w:ascii="Times New Roman" w:eastAsia="Calibri" w:hAnsi="Times New Roman" w:cs="Times New Roman"/>
                <w:noProof/>
                <w:sz w:val="20"/>
                <w:szCs w:val="20"/>
                <w:lang w:val="fr-FR"/>
              </w:rPr>
              <w:t xml:space="preserve">(i) </w:t>
            </w:r>
            <w:r w:rsidR="00DD55FA" w:rsidRPr="00DD55FA">
              <w:rPr>
                <w:rFonts w:ascii="Times New Roman" w:eastAsia="Calibri" w:hAnsi="Times New Roman" w:cs="Times New Roman"/>
                <w:bCs/>
                <w:noProof/>
                <w:sz w:val="20"/>
                <w:szCs w:val="20"/>
                <w:lang w:val="fr"/>
              </w:rPr>
              <w:t xml:space="preserve">01 EIES, 01 PAR  et 01 </w:t>
            </w:r>
            <w:r w:rsidR="00DD55FA" w:rsidRPr="00DD55FA">
              <w:rPr>
                <w:rFonts w:ascii="Times New Roman" w:eastAsia="Calibri" w:hAnsi="Times New Roman" w:cs="Times New Roman"/>
                <w:bCs/>
                <w:noProof/>
                <w:sz w:val="20"/>
                <w:szCs w:val="20"/>
                <w:lang w:val="fr-FR"/>
              </w:rPr>
              <w:t>PGMD</w:t>
            </w:r>
            <w:r w:rsidR="00DD55FA" w:rsidRPr="00DD55FA">
              <w:rPr>
                <w:rFonts w:ascii="Times New Roman" w:eastAsia="Calibri" w:hAnsi="Times New Roman" w:cs="Times New Roman"/>
                <w:bCs/>
                <w:noProof/>
                <w:sz w:val="20"/>
                <w:szCs w:val="20"/>
                <w:lang w:val="fr"/>
              </w:rPr>
              <w:t xml:space="preserve"> pour </w:t>
            </w:r>
            <w:r w:rsidR="00DD55FA" w:rsidRPr="00DD55FA">
              <w:rPr>
                <w:rFonts w:ascii="Times New Roman" w:eastAsia="Calibri" w:hAnsi="Times New Roman" w:cs="Times New Roman"/>
                <w:bCs/>
                <w:noProof/>
                <w:sz w:val="20"/>
                <w:szCs w:val="20"/>
                <w:lang w:val="fr-FR"/>
              </w:rPr>
              <w:t xml:space="preserve">les travaux de viabilisation et d’aménagement du Parc Agroindustriel et de construction du port sec ; (ii) 01 EIES et 01 PAR pour les travaux d’extension des périmètres irrigués de Djiratawa 1 et 2, ainsi que les travaux de construction du centre d’agrégation et de services (CAS) et des routes/pistes de desserte/d’accès y relatifs ; (iii) 01 EIES et 01 PAR pour les travaux d’extension du périmètre irrigué de Djambali, ainsi que les travaux de réhabilitation/ construction des routes/pistes de </w:t>
            </w:r>
            <w:r w:rsidR="00DD55FA" w:rsidRPr="00DD55FA">
              <w:rPr>
                <w:rFonts w:ascii="Times New Roman" w:eastAsia="Calibri" w:hAnsi="Times New Roman" w:cs="Times New Roman"/>
                <w:bCs/>
                <w:noProof/>
                <w:sz w:val="20"/>
                <w:szCs w:val="20"/>
                <w:lang w:val="fr-FR"/>
              </w:rPr>
              <w:lastRenderedPageBreak/>
              <w:t xml:space="preserve">desserte/d’accès y relatifs ; (iv) 01 PGP/PGV pour l’ensemble de la </w:t>
            </w:r>
            <w:r w:rsidR="00DD55FA" w:rsidRPr="00DD55FA">
              <w:rPr>
                <w:rFonts w:ascii="Times New Roman" w:eastAsia="Calibri" w:hAnsi="Times New Roman" w:cs="Times New Roman"/>
                <w:bCs/>
                <w:i/>
                <w:iCs/>
                <w:noProof/>
                <w:sz w:val="20"/>
                <w:szCs w:val="20"/>
                <w:lang w:val="fr-FR"/>
              </w:rPr>
              <w:t>Composante 1 : Développement des filières agricoles résiliente </w:t>
            </w:r>
            <w:r w:rsidR="00DD55FA" w:rsidRPr="00DD55FA">
              <w:rPr>
                <w:rFonts w:ascii="Times New Roman" w:eastAsia="Calibri" w:hAnsi="Times New Roman" w:cs="Times New Roman"/>
                <w:bCs/>
                <w:noProof/>
                <w:sz w:val="20"/>
                <w:szCs w:val="20"/>
                <w:lang w:val="fr-FR"/>
              </w:rPr>
              <w:t>; (v) 01 P3P, incluant un MGP pour l’ensemble du Programme ; (vi) 01 PGES annexe à l’accord de financement (PGES-AF) pour l’ensemble du Programme</w:t>
            </w:r>
            <w:r w:rsidR="00B21C7D">
              <w:rPr>
                <w:rFonts w:ascii="Times New Roman" w:eastAsia="Calibri" w:hAnsi="Times New Roman" w:cs="Times New Roman"/>
                <w:bCs/>
                <w:noProof/>
                <w:sz w:val="20"/>
                <w:szCs w:val="20"/>
                <w:lang w:val="fr-FR"/>
              </w:rPr>
              <w:t xml:space="preserve"> d’investisse</w:t>
            </w:r>
            <w:r w:rsidR="009368AC">
              <w:rPr>
                <w:rFonts w:ascii="Times New Roman" w:eastAsia="Calibri" w:hAnsi="Times New Roman" w:cs="Times New Roman"/>
                <w:bCs/>
                <w:noProof/>
                <w:sz w:val="20"/>
                <w:szCs w:val="20"/>
                <w:lang w:val="fr-FR"/>
              </w:rPr>
              <w:t>ment retenu.</w:t>
            </w:r>
          </w:p>
        </w:tc>
        <w:tc>
          <w:tcPr>
            <w:tcW w:w="2693" w:type="dxa"/>
          </w:tcPr>
          <w:p w14:paraId="0252A386" w14:textId="71C803D1" w:rsidR="00215833" w:rsidRPr="001250E9" w:rsidRDefault="00CD2FA8" w:rsidP="00EE0597">
            <w:pPr>
              <w:rPr>
                <w:rFonts w:ascii="Calibri" w:eastAsia="Calibri" w:hAnsi="Calibri" w:cs="Times New Roman"/>
                <w:noProof/>
                <w:sz w:val="20"/>
                <w:szCs w:val="20"/>
                <w:lang w:val="fr-FR"/>
              </w:rPr>
            </w:pPr>
            <w:r w:rsidRPr="00534F1D">
              <w:rPr>
                <w:rFonts w:ascii="Calibri" w:eastAsia="Calibri" w:hAnsi="Calibri" w:cs="Times New Roman"/>
                <w:noProof/>
                <w:sz w:val="20"/>
                <w:szCs w:val="20"/>
              </w:rPr>
              <w:lastRenderedPageBreak/>
              <w:t xml:space="preserve">Avant </w:t>
            </w:r>
            <w:r w:rsidR="00090381" w:rsidRPr="00534F1D">
              <w:rPr>
                <w:rFonts w:ascii="Calibri" w:eastAsia="Calibri" w:hAnsi="Calibri" w:cs="Times New Roman"/>
                <w:noProof/>
                <w:sz w:val="20"/>
                <w:szCs w:val="20"/>
              </w:rPr>
              <w:t xml:space="preserve">la mission d’évaluation et au moins 120 jours avant la date de passage du projet </w:t>
            </w:r>
            <w:r w:rsidR="00376C39">
              <w:rPr>
                <w:rFonts w:ascii="Calibri" w:eastAsia="Calibri" w:hAnsi="Calibri" w:cs="Times New Roman"/>
                <w:noProof/>
                <w:sz w:val="20"/>
                <w:szCs w:val="20"/>
                <w:lang w:val="fr-FR"/>
              </w:rPr>
              <w:t xml:space="preserve">d’investissement </w:t>
            </w:r>
            <w:r w:rsidR="00090381" w:rsidRPr="00534F1D">
              <w:rPr>
                <w:rFonts w:ascii="Calibri" w:eastAsia="Calibri" w:hAnsi="Calibri" w:cs="Times New Roman"/>
                <w:noProof/>
                <w:sz w:val="20"/>
                <w:szCs w:val="20"/>
              </w:rPr>
              <w:t>au Conseil d’Administration</w:t>
            </w:r>
          </w:p>
        </w:tc>
      </w:tr>
      <w:tr w:rsidR="00215833" w:rsidRPr="00215833" w14:paraId="79E2F4C0" w14:textId="77777777" w:rsidTr="00EE0597">
        <w:tc>
          <w:tcPr>
            <w:tcW w:w="625" w:type="dxa"/>
          </w:tcPr>
          <w:p w14:paraId="44B6A0C9" w14:textId="77777777" w:rsidR="00215833" w:rsidRPr="00215833" w:rsidRDefault="00215833" w:rsidP="00215833">
            <w:pPr>
              <w:jc w:val="center"/>
              <w:rPr>
                <w:rFonts w:ascii="Calibri" w:eastAsia="Calibri" w:hAnsi="Calibri" w:cs="Times New Roman"/>
                <w:noProof/>
                <w:sz w:val="20"/>
                <w:szCs w:val="20"/>
              </w:rPr>
            </w:pPr>
            <w:r w:rsidRPr="00215833">
              <w:rPr>
                <w:rFonts w:ascii="Calibri" w:eastAsia="Calibri" w:hAnsi="Calibri" w:cs="Times New Roman"/>
                <w:noProof/>
                <w:sz w:val="20"/>
                <w:szCs w:val="20"/>
              </w:rPr>
              <w:t>9</w:t>
            </w:r>
          </w:p>
        </w:tc>
        <w:tc>
          <w:tcPr>
            <w:tcW w:w="5675" w:type="dxa"/>
          </w:tcPr>
          <w:p w14:paraId="2D4313C4" w14:textId="77777777" w:rsidR="00215833" w:rsidRPr="001250E9" w:rsidRDefault="00215833" w:rsidP="00215833">
            <w:pPr>
              <w:jc w:val="both"/>
              <w:rPr>
                <w:rFonts w:ascii="Calibri" w:eastAsia="Calibri" w:hAnsi="Calibri" w:cs="Times New Roman"/>
                <w:noProof/>
                <w:sz w:val="20"/>
                <w:szCs w:val="20"/>
                <w:lang w:val="fr-FR"/>
              </w:rPr>
            </w:pPr>
            <w:r w:rsidRPr="00534F1D">
              <w:rPr>
                <w:rFonts w:ascii="Calibri" w:eastAsia="Calibri" w:hAnsi="Calibri" w:cs="Times New Roman"/>
                <w:noProof/>
                <w:sz w:val="20"/>
                <w:szCs w:val="20"/>
              </w:rPr>
              <w:t xml:space="preserve">Mobilisation des parties prenantes concernées de chaque activité E&amp;S spécifique pertinente </w:t>
            </w:r>
          </w:p>
        </w:tc>
        <w:tc>
          <w:tcPr>
            <w:tcW w:w="1985" w:type="dxa"/>
          </w:tcPr>
          <w:p w14:paraId="015A0A64" w14:textId="77777777" w:rsidR="00215833" w:rsidRPr="001250E9" w:rsidRDefault="00215833" w:rsidP="00EE0597">
            <w:pPr>
              <w:rPr>
                <w:rFonts w:ascii="Calibri" w:eastAsia="Calibri" w:hAnsi="Calibri" w:cs="Times New Roman"/>
                <w:noProof/>
                <w:sz w:val="20"/>
                <w:szCs w:val="20"/>
                <w:lang w:val="fr-FR"/>
              </w:rPr>
            </w:pPr>
            <w:r w:rsidRPr="00534F1D">
              <w:rPr>
                <w:rFonts w:ascii="Calibri" w:eastAsia="Calibri" w:hAnsi="Calibri" w:cs="Times New Roman"/>
                <w:sz w:val="20"/>
                <w:szCs w:val="20"/>
              </w:rPr>
              <w:t>SO1, SO10, Politique de diffusion et d’accès à l’information</w:t>
            </w:r>
          </w:p>
        </w:tc>
        <w:tc>
          <w:tcPr>
            <w:tcW w:w="4394" w:type="dxa"/>
          </w:tcPr>
          <w:p w14:paraId="764D5D0A" w14:textId="214755A6" w:rsidR="00215833" w:rsidRPr="001250E9" w:rsidRDefault="00667EF3" w:rsidP="00EE0597">
            <w:pPr>
              <w:tabs>
                <w:tab w:val="left" w:pos="0"/>
              </w:tabs>
              <w:rPr>
                <w:rFonts w:ascii="Times New Roman" w:eastAsia="Calibri" w:hAnsi="Times New Roman" w:cs="Times New Roman"/>
                <w:noProof/>
                <w:sz w:val="20"/>
                <w:szCs w:val="20"/>
                <w:lang w:val="fr-FR"/>
              </w:rPr>
            </w:pPr>
            <w:r>
              <w:rPr>
                <w:rFonts w:ascii="Times New Roman" w:eastAsia="Calibri" w:hAnsi="Times New Roman" w:cs="Times New Roman"/>
                <w:noProof/>
                <w:sz w:val="20"/>
                <w:szCs w:val="20"/>
                <w:lang w:val="fr-FR"/>
              </w:rPr>
              <w:t xml:space="preserve"> </w:t>
            </w:r>
            <w:r w:rsidR="009618D5">
              <w:rPr>
                <w:rFonts w:ascii="Times New Roman" w:eastAsia="Calibri" w:hAnsi="Times New Roman" w:cs="Times New Roman"/>
                <w:noProof/>
                <w:sz w:val="20"/>
                <w:szCs w:val="20"/>
                <w:lang w:val="fr-FR"/>
              </w:rPr>
              <w:t>Rapports ou c</w:t>
            </w:r>
            <w:r w:rsidR="0017498D">
              <w:rPr>
                <w:rFonts w:ascii="Times New Roman" w:eastAsia="Calibri" w:hAnsi="Times New Roman" w:cs="Times New Roman"/>
                <w:noProof/>
                <w:sz w:val="20"/>
                <w:szCs w:val="20"/>
                <w:lang w:val="fr-FR"/>
              </w:rPr>
              <w:t>ompte</w:t>
            </w:r>
            <w:r w:rsidR="009618D5">
              <w:rPr>
                <w:rFonts w:ascii="Times New Roman" w:eastAsia="Calibri" w:hAnsi="Times New Roman" w:cs="Times New Roman"/>
                <w:noProof/>
                <w:sz w:val="20"/>
                <w:szCs w:val="20"/>
                <w:lang w:val="fr-FR"/>
              </w:rPr>
              <w:t>s rendus des séances de mobilisation des parties prenantes</w:t>
            </w:r>
          </w:p>
        </w:tc>
        <w:tc>
          <w:tcPr>
            <w:tcW w:w="2693" w:type="dxa"/>
          </w:tcPr>
          <w:p w14:paraId="10F74A1D" w14:textId="48AD8A5C" w:rsidR="00215833" w:rsidRPr="001250E9" w:rsidRDefault="005C70F1" w:rsidP="00EE0597">
            <w:pPr>
              <w:rPr>
                <w:rFonts w:ascii="Calibri" w:eastAsia="Calibri" w:hAnsi="Calibri" w:cs="Times New Roman"/>
                <w:noProof/>
                <w:sz w:val="20"/>
                <w:szCs w:val="20"/>
                <w:lang w:val="fr-FR"/>
              </w:rPr>
            </w:pPr>
            <w:r>
              <w:rPr>
                <w:rFonts w:ascii="Calibri" w:eastAsia="Calibri" w:hAnsi="Calibri" w:cs="Times New Roman"/>
                <w:noProof/>
                <w:sz w:val="20"/>
                <w:szCs w:val="20"/>
                <w:lang w:val="fr-FR"/>
              </w:rPr>
              <w:t>Lors de la soumission des</w:t>
            </w:r>
            <w:r w:rsidR="00271D17" w:rsidRPr="00271D17">
              <w:rPr>
                <w:rFonts w:ascii="Calibri" w:eastAsia="Calibri" w:hAnsi="Calibri" w:cs="Times New Roman"/>
                <w:noProof/>
                <w:sz w:val="20"/>
                <w:szCs w:val="20"/>
                <w:lang w:val="fr-FR"/>
              </w:rPr>
              <w:t xml:space="preserve"> documents E&amp;S spécifiques</w:t>
            </w:r>
            <w:r w:rsidR="00177759">
              <w:rPr>
                <w:rFonts w:ascii="Calibri" w:eastAsia="Calibri" w:hAnsi="Calibri" w:cs="Times New Roman"/>
                <w:noProof/>
                <w:sz w:val="20"/>
                <w:szCs w:val="20"/>
                <w:lang w:val="fr-FR"/>
              </w:rPr>
              <w:t xml:space="preserve"> à la </w:t>
            </w:r>
            <w:r w:rsidR="00925E83">
              <w:rPr>
                <w:rFonts w:ascii="Calibri" w:eastAsia="Calibri" w:hAnsi="Calibri" w:cs="Times New Roman"/>
                <w:noProof/>
                <w:sz w:val="20"/>
                <w:szCs w:val="20"/>
                <w:lang w:val="fr-FR"/>
              </w:rPr>
              <w:t xml:space="preserve">Banque </w:t>
            </w:r>
            <w:r w:rsidR="00271D17" w:rsidRPr="00271D17">
              <w:rPr>
                <w:rFonts w:ascii="Calibri" w:eastAsia="Calibri" w:hAnsi="Calibri" w:cs="Times New Roman"/>
                <w:noProof/>
                <w:sz w:val="20"/>
                <w:szCs w:val="20"/>
                <w:lang w:val="fr-FR"/>
              </w:rPr>
              <w:t xml:space="preserve"> pendant la mise en œuvre du projet</w:t>
            </w:r>
          </w:p>
        </w:tc>
      </w:tr>
      <w:tr w:rsidR="00FF53B6" w:rsidRPr="00215833" w14:paraId="21C8F818" w14:textId="77777777" w:rsidTr="00EE0597">
        <w:tc>
          <w:tcPr>
            <w:tcW w:w="625" w:type="dxa"/>
          </w:tcPr>
          <w:p w14:paraId="12D46F20" w14:textId="77777777" w:rsidR="00FF53B6" w:rsidRPr="00215833" w:rsidRDefault="00FF53B6" w:rsidP="00FF53B6">
            <w:pPr>
              <w:jc w:val="center"/>
              <w:rPr>
                <w:rFonts w:ascii="Calibri" w:eastAsia="Calibri" w:hAnsi="Calibri" w:cs="Times New Roman"/>
                <w:noProof/>
                <w:sz w:val="20"/>
                <w:szCs w:val="20"/>
              </w:rPr>
            </w:pPr>
            <w:r w:rsidRPr="00215833">
              <w:rPr>
                <w:rFonts w:ascii="Calibri" w:eastAsia="Calibri" w:hAnsi="Calibri" w:cs="Times New Roman"/>
                <w:noProof/>
                <w:sz w:val="20"/>
                <w:szCs w:val="20"/>
              </w:rPr>
              <w:t>10</w:t>
            </w:r>
          </w:p>
        </w:tc>
        <w:tc>
          <w:tcPr>
            <w:tcW w:w="5675" w:type="dxa"/>
          </w:tcPr>
          <w:p w14:paraId="7AB7DE63" w14:textId="77777777" w:rsidR="00FF53B6" w:rsidRPr="001250E9" w:rsidRDefault="00FF53B6" w:rsidP="00FF53B6">
            <w:pPr>
              <w:jc w:val="both"/>
              <w:rPr>
                <w:rFonts w:ascii="Calibri" w:eastAsia="Calibri" w:hAnsi="Calibri" w:cs="Times New Roman"/>
                <w:noProof/>
                <w:sz w:val="20"/>
                <w:szCs w:val="20"/>
                <w:lang w:val="fr-FR"/>
              </w:rPr>
            </w:pPr>
            <w:r w:rsidRPr="00534F1D">
              <w:rPr>
                <w:rFonts w:ascii="Calibri" w:eastAsia="Calibri" w:hAnsi="Calibri" w:cs="Times New Roman"/>
                <w:noProof/>
                <w:sz w:val="20"/>
                <w:szCs w:val="20"/>
              </w:rPr>
              <w:t xml:space="preserve">Mise en place du mécanisme de préparation et de rispotes aux urgences </w:t>
            </w:r>
          </w:p>
        </w:tc>
        <w:tc>
          <w:tcPr>
            <w:tcW w:w="1985" w:type="dxa"/>
          </w:tcPr>
          <w:p w14:paraId="7ADB6BE8" w14:textId="77777777" w:rsidR="00FF53B6" w:rsidRPr="001250E9" w:rsidRDefault="00FF53B6" w:rsidP="00EE0597">
            <w:pPr>
              <w:rPr>
                <w:rFonts w:ascii="Calibri" w:eastAsia="Calibri" w:hAnsi="Calibri" w:cs="Times New Roman"/>
                <w:noProof/>
                <w:sz w:val="20"/>
                <w:szCs w:val="20"/>
                <w:lang w:val="fr-FR"/>
              </w:rPr>
            </w:pPr>
            <w:r w:rsidRPr="00534F1D">
              <w:rPr>
                <w:rFonts w:ascii="Calibri" w:eastAsia="Calibri" w:hAnsi="Calibri" w:cs="Times New Roman"/>
                <w:sz w:val="20"/>
                <w:szCs w:val="20"/>
              </w:rPr>
              <w:t>SO1 et SO4, règlementation nationale sur la gestion des catastrophes et protection civile</w:t>
            </w:r>
          </w:p>
        </w:tc>
        <w:tc>
          <w:tcPr>
            <w:tcW w:w="4394" w:type="dxa"/>
          </w:tcPr>
          <w:p w14:paraId="4EC78B82" w14:textId="4585B9B9" w:rsidR="00FF53B6" w:rsidRPr="00215833" w:rsidRDefault="00FF53B6" w:rsidP="00EE0597">
            <w:pPr>
              <w:tabs>
                <w:tab w:val="left" w:pos="0"/>
              </w:tabs>
              <w:rPr>
                <w:rFonts w:ascii="Times New Roman" w:eastAsia="Calibri" w:hAnsi="Times New Roman" w:cs="Times New Roman"/>
                <w:noProof/>
                <w:sz w:val="20"/>
                <w:szCs w:val="20"/>
              </w:rPr>
            </w:pPr>
            <w:r>
              <w:rPr>
                <w:rFonts w:ascii="Times New Roman" w:eastAsia="Calibri" w:hAnsi="Times New Roman" w:cs="Times New Roman"/>
                <w:noProof/>
                <w:sz w:val="20"/>
                <w:szCs w:val="20"/>
              </w:rPr>
              <w:t>N/A</w:t>
            </w:r>
          </w:p>
        </w:tc>
        <w:tc>
          <w:tcPr>
            <w:tcW w:w="2693" w:type="dxa"/>
          </w:tcPr>
          <w:p w14:paraId="583FC72D" w14:textId="41BC8F5F" w:rsidR="00FF53B6" w:rsidRPr="00215833" w:rsidRDefault="00FF53B6" w:rsidP="00EE0597">
            <w:pPr>
              <w:rPr>
                <w:rFonts w:ascii="Calibri" w:eastAsia="Calibri" w:hAnsi="Calibri" w:cs="Times New Roman"/>
                <w:noProof/>
                <w:sz w:val="20"/>
                <w:szCs w:val="20"/>
              </w:rPr>
            </w:pPr>
            <w:r>
              <w:rPr>
                <w:rFonts w:ascii="Times New Roman" w:eastAsia="Calibri" w:hAnsi="Times New Roman" w:cs="Times New Roman"/>
                <w:noProof/>
                <w:sz w:val="20"/>
                <w:szCs w:val="20"/>
              </w:rPr>
              <w:t>N/A</w:t>
            </w:r>
          </w:p>
        </w:tc>
      </w:tr>
      <w:tr w:rsidR="007E3507" w:rsidRPr="00215833" w14:paraId="1C95A307" w14:textId="77777777" w:rsidTr="00EE0597">
        <w:tc>
          <w:tcPr>
            <w:tcW w:w="625" w:type="dxa"/>
          </w:tcPr>
          <w:p w14:paraId="35E27607" w14:textId="77777777" w:rsidR="007E3507" w:rsidRPr="00215833" w:rsidRDefault="007E3507" w:rsidP="007E3507">
            <w:pPr>
              <w:jc w:val="center"/>
              <w:rPr>
                <w:rFonts w:ascii="Calibri" w:eastAsia="Calibri" w:hAnsi="Calibri" w:cs="Times New Roman"/>
                <w:noProof/>
                <w:sz w:val="20"/>
                <w:szCs w:val="20"/>
              </w:rPr>
            </w:pPr>
            <w:r w:rsidRPr="00215833">
              <w:rPr>
                <w:rFonts w:ascii="Calibri" w:eastAsia="Calibri" w:hAnsi="Calibri" w:cs="Times New Roman"/>
                <w:noProof/>
                <w:sz w:val="20"/>
                <w:szCs w:val="20"/>
              </w:rPr>
              <w:t>11</w:t>
            </w:r>
          </w:p>
        </w:tc>
        <w:tc>
          <w:tcPr>
            <w:tcW w:w="5675" w:type="dxa"/>
          </w:tcPr>
          <w:p w14:paraId="4BD6C50E" w14:textId="77777777" w:rsidR="007E3507" w:rsidRPr="001250E9" w:rsidRDefault="007E3507" w:rsidP="007E3507">
            <w:pPr>
              <w:jc w:val="both"/>
              <w:rPr>
                <w:rFonts w:ascii="Calibri" w:eastAsia="Calibri" w:hAnsi="Calibri" w:cs="Times New Roman"/>
                <w:noProof/>
                <w:sz w:val="20"/>
                <w:szCs w:val="20"/>
                <w:lang w:val="fr-FR"/>
              </w:rPr>
            </w:pPr>
            <w:r w:rsidRPr="00534F1D">
              <w:rPr>
                <w:rFonts w:ascii="Calibri" w:eastAsia="Calibri" w:hAnsi="Calibri" w:cs="Times New Roman"/>
                <w:noProof/>
                <w:sz w:val="20"/>
                <w:szCs w:val="20"/>
              </w:rPr>
              <w:t>Traitement approprié et rapide des plaintes</w:t>
            </w:r>
          </w:p>
        </w:tc>
        <w:tc>
          <w:tcPr>
            <w:tcW w:w="1985" w:type="dxa"/>
          </w:tcPr>
          <w:p w14:paraId="0952941D" w14:textId="77777777" w:rsidR="007E3507" w:rsidRPr="001250E9" w:rsidRDefault="007E3507" w:rsidP="007E3507">
            <w:pPr>
              <w:rPr>
                <w:rFonts w:ascii="Calibri" w:eastAsia="Calibri" w:hAnsi="Calibri" w:cs="Times New Roman"/>
                <w:noProof/>
                <w:sz w:val="20"/>
                <w:szCs w:val="20"/>
                <w:lang w:val="fr-FR"/>
              </w:rPr>
            </w:pPr>
            <w:r w:rsidRPr="00534F1D">
              <w:rPr>
                <w:rFonts w:ascii="Calibri" w:eastAsia="Calibri" w:hAnsi="Calibri" w:cs="Times New Roman"/>
                <w:sz w:val="20"/>
                <w:szCs w:val="20"/>
              </w:rPr>
              <w:t>PES de la Banque et SO1</w:t>
            </w:r>
          </w:p>
        </w:tc>
        <w:tc>
          <w:tcPr>
            <w:tcW w:w="4394" w:type="dxa"/>
          </w:tcPr>
          <w:p w14:paraId="4008D0D6" w14:textId="36E61C69" w:rsidR="007E3507" w:rsidRPr="001250E9" w:rsidRDefault="007E3507" w:rsidP="007E3507">
            <w:pPr>
              <w:tabs>
                <w:tab w:val="left" w:pos="0"/>
              </w:tabs>
              <w:rPr>
                <w:rFonts w:ascii="Times New Roman" w:eastAsia="Calibri" w:hAnsi="Times New Roman" w:cs="Times New Roman"/>
                <w:noProof/>
                <w:sz w:val="20"/>
                <w:szCs w:val="20"/>
                <w:lang w:val="fr-FR"/>
              </w:rPr>
            </w:pPr>
            <w:r>
              <w:rPr>
                <w:rFonts w:ascii="Times New Roman" w:eastAsia="Calibri" w:hAnsi="Times New Roman" w:cs="Times New Roman"/>
                <w:noProof/>
                <w:sz w:val="20"/>
                <w:szCs w:val="20"/>
              </w:rPr>
              <w:t>N/A</w:t>
            </w:r>
          </w:p>
        </w:tc>
        <w:tc>
          <w:tcPr>
            <w:tcW w:w="2693" w:type="dxa"/>
          </w:tcPr>
          <w:p w14:paraId="2D407357" w14:textId="34DCC368" w:rsidR="007E3507" w:rsidRPr="00215833" w:rsidRDefault="007E3507" w:rsidP="007E3507">
            <w:pPr>
              <w:rPr>
                <w:rFonts w:ascii="Calibri" w:eastAsia="Calibri" w:hAnsi="Calibri" w:cs="Times New Roman"/>
                <w:noProof/>
                <w:sz w:val="20"/>
                <w:szCs w:val="20"/>
              </w:rPr>
            </w:pPr>
            <w:r>
              <w:rPr>
                <w:rFonts w:ascii="Times New Roman" w:eastAsia="Calibri" w:hAnsi="Times New Roman" w:cs="Times New Roman"/>
                <w:noProof/>
                <w:sz w:val="20"/>
                <w:szCs w:val="20"/>
              </w:rPr>
              <w:t>N/A</w:t>
            </w:r>
          </w:p>
        </w:tc>
      </w:tr>
      <w:tr w:rsidR="007E3507" w:rsidRPr="00215833" w14:paraId="5D20FE16" w14:textId="77777777" w:rsidTr="00EE0597">
        <w:tc>
          <w:tcPr>
            <w:tcW w:w="625" w:type="dxa"/>
          </w:tcPr>
          <w:p w14:paraId="339C15E4" w14:textId="77777777" w:rsidR="007E3507" w:rsidRPr="00215833" w:rsidRDefault="007E3507" w:rsidP="007E3507">
            <w:pPr>
              <w:jc w:val="center"/>
              <w:rPr>
                <w:rFonts w:ascii="Calibri" w:eastAsia="Calibri" w:hAnsi="Calibri" w:cs="Times New Roman"/>
                <w:noProof/>
                <w:sz w:val="20"/>
                <w:szCs w:val="20"/>
              </w:rPr>
            </w:pPr>
            <w:r w:rsidRPr="00215833">
              <w:rPr>
                <w:rFonts w:ascii="Calibri" w:eastAsia="Calibri" w:hAnsi="Calibri" w:cs="Times New Roman"/>
                <w:noProof/>
                <w:sz w:val="20"/>
                <w:szCs w:val="20"/>
              </w:rPr>
              <w:t>12</w:t>
            </w:r>
          </w:p>
        </w:tc>
        <w:tc>
          <w:tcPr>
            <w:tcW w:w="5675" w:type="dxa"/>
          </w:tcPr>
          <w:p w14:paraId="06009736" w14:textId="77777777" w:rsidR="007E3507" w:rsidRPr="001250E9" w:rsidRDefault="007E3507" w:rsidP="007E3507">
            <w:pPr>
              <w:jc w:val="both"/>
              <w:rPr>
                <w:rFonts w:ascii="Calibri" w:eastAsia="Calibri" w:hAnsi="Calibri" w:cs="Times New Roman"/>
                <w:noProof/>
                <w:sz w:val="20"/>
                <w:szCs w:val="20"/>
                <w:lang w:val="fr-FR"/>
              </w:rPr>
            </w:pPr>
            <w:r w:rsidRPr="00534F1D">
              <w:rPr>
                <w:rFonts w:ascii="Calibri" w:eastAsia="Calibri" w:hAnsi="Calibri" w:cs="Times New Roman"/>
                <w:noProof/>
                <w:sz w:val="20"/>
                <w:szCs w:val="20"/>
              </w:rPr>
              <w:t>Notification aux riverains ou alerte aux populations exposées en aval</w:t>
            </w:r>
          </w:p>
        </w:tc>
        <w:tc>
          <w:tcPr>
            <w:tcW w:w="1985" w:type="dxa"/>
          </w:tcPr>
          <w:p w14:paraId="5FB59BC0" w14:textId="77777777" w:rsidR="007E3507" w:rsidRPr="001250E9" w:rsidRDefault="007E3507" w:rsidP="007E3507">
            <w:pPr>
              <w:rPr>
                <w:rFonts w:ascii="Calibri" w:eastAsia="Calibri" w:hAnsi="Calibri" w:cs="Times New Roman"/>
                <w:noProof/>
                <w:sz w:val="20"/>
                <w:szCs w:val="20"/>
                <w:lang w:val="fr-FR"/>
              </w:rPr>
            </w:pPr>
            <w:r w:rsidRPr="00534F1D">
              <w:rPr>
                <w:rFonts w:ascii="Calibri" w:eastAsia="Calibri" w:hAnsi="Calibri" w:cs="Times New Roman"/>
                <w:sz w:val="20"/>
                <w:szCs w:val="20"/>
              </w:rPr>
              <w:t>PES de la Banque et SO1, Traité/Convention international ratifié pertinent</w:t>
            </w:r>
          </w:p>
        </w:tc>
        <w:tc>
          <w:tcPr>
            <w:tcW w:w="4394" w:type="dxa"/>
          </w:tcPr>
          <w:p w14:paraId="55250A3D" w14:textId="14414FC4" w:rsidR="007E3507" w:rsidRPr="00215833" w:rsidRDefault="007E3507" w:rsidP="007E3507">
            <w:pPr>
              <w:tabs>
                <w:tab w:val="left" w:pos="0"/>
              </w:tabs>
              <w:rPr>
                <w:rFonts w:ascii="Times New Roman" w:eastAsia="Calibri" w:hAnsi="Times New Roman" w:cs="Times New Roman"/>
                <w:noProof/>
                <w:sz w:val="20"/>
                <w:szCs w:val="20"/>
              </w:rPr>
            </w:pPr>
            <w:r>
              <w:rPr>
                <w:rFonts w:ascii="Times New Roman" w:eastAsia="Calibri" w:hAnsi="Times New Roman" w:cs="Times New Roman"/>
                <w:noProof/>
                <w:sz w:val="20"/>
                <w:szCs w:val="20"/>
              </w:rPr>
              <w:t>N/A</w:t>
            </w:r>
          </w:p>
        </w:tc>
        <w:tc>
          <w:tcPr>
            <w:tcW w:w="2693" w:type="dxa"/>
          </w:tcPr>
          <w:p w14:paraId="090698CF" w14:textId="289DC3A8" w:rsidR="007E3507" w:rsidRPr="00215833" w:rsidRDefault="007E3507" w:rsidP="007E3507">
            <w:pPr>
              <w:rPr>
                <w:rFonts w:ascii="Calibri" w:eastAsia="Calibri" w:hAnsi="Calibri" w:cs="Times New Roman"/>
                <w:noProof/>
                <w:sz w:val="20"/>
                <w:szCs w:val="20"/>
              </w:rPr>
            </w:pPr>
            <w:r>
              <w:rPr>
                <w:rFonts w:ascii="Times New Roman" w:eastAsia="Calibri" w:hAnsi="Times New Roman" w:cs="Times New Roman"/>
                <w:noProof/>
                <w:sz w:val="20"/>
                <w:szCs w:val="20"/>
              </w:rPr>
              <w:t>N/A</w:t>
            </w:r>
          </w:p>
        </w:tc>
      </w:tr>
      <w:tr w:rsidR="007E3507" w:rsidRPr="00215833" w14:paraId="7CFA74C9" w14:textId="77777777" w:rsidTr="00EE0597">
        <w:tc>
          <w:tcPr>
            <w:tcW w:w="625" w:type="dxa"/>
          </w:tcPr>
          <w:p w14:paraId="55C0775F" w14:textId="77777777" w:rsidR="007E3507" w:rsidRPr="00215833" w:rsidRDefault="007E3507" w:rsidP="007E3507">
            <w:pPr>
              <w:jc w:val="center"/>
              <w:rPr>
                <w:rFonts w:ascii="Calibri" w:eastAsia="Calibri" w:hAnsi="Calibri" w:cs="Times New Roman"/>
                <w:noProof/>
                <w:sz w:val="20"/>
                <w:szCs w:val="20"/>
              </w:rPr>
            </w:pPr>
            <w:r w:rsidRPr="00215833">
              <w:rPr>
                <w:rFonts w:ascii="Calibri" w:eastAsia="Calibri" w:hAnsi="Calibri" w:cs="Times New Roman"/>
                <w:noProof/>
                <w:sz w:val="20"/>
                <w:szCs w:val="20"/>
              </w:rPr>
              <w:t>13</w:t>
            </w:r>
          </w:p>
        </w:tc>
        <w:tc>
          <w:tcPr>
            <w:tcW w:w="5675" w:type="dxa"/>
          </w:tcPr>
          <w:p w14:paraId="53B04822" w14:textId="77777777" w:rsidR="007E3507" w:rsidRPr="001250E9" w:rsidRDefault="007E3507" w:rsidP="007E3507">
            <w:pPr>
              <w:jc w:val="both"/>
              <w:rPr>
                <w:rFonts w:ascii="Calibri" w:eastAsia="Calibri" w:hAnsi="Calibri" w:cs="Times New Roman"/>
                <w:noProof/>
                <w:sz w:val="20"/>
                <w:szCs w:val="20"/>
                <w:lang w:val="fr-FR"/>
              </w:rPr>
            </w:pPr>
            <w:r w:rsidRPr="00534F1D">
              <w:rPr>
                <w:rFonts w:ascii="Calibri" w:eastAsia="Calibri" w:hAnsi="Calibri" w:cs="Times New Roman"/>
                <w:noProof/>
                <w:sz w:val="20"/>
                <w:szCs w:val="20"/>
              </w:rPr>
              <w:t>Renforcement des capacités des principaux responsables de la mise en œuvre du projet</w:t>
            </w:r>
          </w:p>
        </w:tc>
        <w:tc>
          <w:tcPr>
            <w:tcW w:w="1985" w:type="dxa"/>
          </w:tcPr>
          <w:p w14:paraId="2CCC2B47" w14:textId="77777777" w:rsidR="007E3507" w:rsidRPr="00215833" w:rsidRDefault="007E3507" w:rsidP="007E3507">
            <w:pPr>
              <w:rPr>
                <w:rFonts w:ascii="Calibri" w:eastAsia="Calibri" w:hAnsi="Calibri" w:cs="Times New Roman"/>
                <w:noProof/>
                <w:sz w:val="20"/>
                <w:szCs w:val="20"/>
              </w:rPr>
            </w:pPr>
            <w:r w:rsidRPr="00215833">
              <w:rPr>
                <w:rFonts w:ascii="Calibri" w:eastAsia="Calibri" w:hAnsi="Calibri" w:cs="Times New Roman"/>
                <w:noProof/>
                <w:sz w:val="20"/>
                <w:szCs w:val="20"/>
              </w:rPr>
              <w:t>SO1</w:t>
            </w:r>
          </w:p>
        </w:tc>
        <w:tc>
          <w:tcPr>
            <w:tcW w:w="4394" w:type="dxa"/>
          </w:tcPr>
          <w:p w14:paraId="2FA4FDFD" w14:textId="4767D960" w:rsidR="007E3507" w:rsidRPr="001250E9" w:rsidRDefault="007E3507" w:rsidP="007E3507">
            <w:pPr>
              <w:tabs>
                <w:tab w:val="left" w:pos="0"/>
              </w:tabs>
              <w:rPr>
                <w:rFonts w:ascii="Times New Roman" w:eastAsia="Calibri" w:hAnsi="Times New Roman" w:cs="Times New Roman"/>
                <w:noProof/>
                <w:sz w:val="20"/>
                <w:szCs w:val="20"/>
                <w:lang w:val="fr-FR"/>
              </w:rPr>
            </w:pPr>
            <w:r>
              <w:rPr>
                <w:rFonts w:ascii="Times New Roman" w:eastAsia="Calibri" w:hAnsi="Times New Roman" w:cs="Times New Roman"/>
                <w:noProof/>
                <w:sz w:val="20"/>
                <w:szCs w:val="20"/>
              </w:rPr>
              <w:t>N/A</w:t>
            </w:r>
          </w:p>
        </w:tc>
        <w:tc>
          <w:tcPr>
            <w:tcW w:w="2693" w:type="dxa"/>
          </w:tcPr>
          <w:p w14:paraId="67B0996A" w14:textId="760B0D71" w:rsidR="007E3507" w:rsidRPr="00215833" w:rsidRDefault="007E3507" w:rsidP="007E3507">
            <w:pPr>
              <w:rPr>
                <w:rFonts w:ascii="Calibri" w:eastAsia="Calibri" w:hAnsi="Calibri" w:cs="Times New Roman"/>
                <w:noProof/>
                <w:sz w:val="20"/>
                <w:szCs w:val="20"/>
              </w:rPr>
            </w:pPr>
            <w:r>
              <w:rPr>
                <w:rFonts w:ascii="Times New Roman" w:eastAsia="Calibri" w:hAnsi="Times New Roman" w:cs="Times New Roman"/>
                <w:noProof/>
                <w:sz w:val="20"/>
                <w:szCs w:val="20"/>
              </w:rPr>
              <w:t>N/A</w:t>
            </w:r>
          </w:p>
        </w:tc>
      </w:tr>
      <w:tr w:rsidR="007E3507" w:rsidRPr="00215833" w14:paraId="3E1EFE25" w14:textId="77777777" w:rsidTr="00EE0597">
        <w:tc>
          <w:tcPr>
            <w:tcW w:w="625" w:type="dxa"/>
          </w:tcPr>
          <w:p w14:paraId="2F5F37D6" w14:textId="77777777" w:rsidR="007E3507" w:rsidRPr="00215833" w:rsidRDefault="007E3507" w:rsidP="007E3507">
            <w:pPr>
              <w:jc w:val="center"/>
              <w:rPr>
                <w:rFonts w:ascii="Calibri" w:eastAsia="Calibri" w:hAnsi="Calibri" w:cs="Times New Roman"/>
                <w:noProof/>
                <w:sz w:val="20"/>
                <w:szCs w:val="20"/>
              </w:rPr>
            </w:pPr>
            <w:r w:rsidRPr="00215833">
              <w:rPr>
                <w:rFonts w:ascii="Calibri" w:eastAsia="Calibri" w:hAnsi="Calibri" w:cs="Times New Roman"/>
                <w:noProof/>
                <w:sz w:val="20"/>
                <w:szCs w:val="20"/>
              </w:rPr>
              <w:t>14</w:t>
            </w:r>
          </w:p>
        </w:tc>
        <w:tc>
          <w:tcPr>
            <w:tcW w:w="5675" w:type="dxa"/>
          </w:tcPr>
          <w:p w14:paraId="72EDC71C" w14:textId="77777777" w:rsidR="007E3507" w:rsidRPr="001250E9" w:rsidRDefault="007E3507" w:rsidP="007E3507">
            <w:pPr>
              <w:jc w:val="both"/>
              <w:rPr>
                <w:rFonts w:ascii="Calibri" w:eastAsia="Calibri" w:hAnsi="Calibri" w:cs="Times New Roman"/>
                <w:noProof/>
                <w:sz w:val="20"/>
                <w:szCs w:val="20"/>
                <w:lang w:val="fr-FR"/>
              </w:rPr>
            </w:pPr>
            <w:r w:rsidRPr="00534F1D">
              <w:rPr>
                <w:rFonts w:ascii="Calibri" w:eastAsia="Calibri" w:hAnsi="Calibri" w:cs="Times New Roman"/>
                <w:noProof/>
                <w:sz w:val="20"/>
                <w:szCs w:val="20"/>
              </w:rPr>
              <w:t>Mise en œuvre du SGES/PAES</w:t>
            </w:r>
            <w:r w:rsidRPr="00215833">
              <w:rPr>
                <w:rFonts w:ascii="Calibri" w:eastAsia="Calibri" w:hAnsi="Calibri" w:cs="Times New Roman"/>
                <w:b/>
                <w:bCs/>
                <w:noProof/>
                <w:color w:val="FF0000"/>
                <w:sz w:val="20"/>
                <w:szCs w:val="20"/>
                <w:vertAlign w:val="superscript"/>
              </w:rPr>
              <w:footnoteReference w:id="3"/>
            </w:r>
          </w:p>
        </w:tc>
        <w:tc>
          <w:tcPr>
            <w:tcW w:w="1985" w:type="dxa"/>
          </w:tcPr>
          <w:p w14:paraId="26FC6A1F" w14:textId="77777777" w:rsidR="007E3507" w:rsidRPr="001250E9" w:rsidRDefault="007E3507" w:rsidP="007E3507">
            <w:pPr>
              <w:rPr>
                <w:rFonts w:ascii="Calibri" w:eastAsia="Calibri" w:hAnsi="Calibri" w:cs="Times New Roman"/>
                <w:noProof/>
                <w:sz w:val="20"/>
                <w:szCs w:val="20"/>
                <w:lang w:val="fr-FR"/>
              </w:rPr>
            </w:pPr>
            <w:r w:rsidRPr="00534F1D">
              <w:rPr>
                <w:rFonts w:ascii="Calibri" w:eastAsia="Calibri" w:hAnsi="Calibri" w:cs="Times New Roman"/>
                <w:sz w:val="20"/>
                <w:szCs w:val="20"/>
              </w:rPr>
              <w:t>SO1 et SO9, exigences nationales</w:t>
            </w:r>
          </w:p>
        </w:tc>
        <w:tc>
          <w:tcPr>
            <w:tcW w:w="4394" w:type="dxa"/>
          </w:tcPr>
          <w:p w14:paraId="3C7FDEEF" w14:textId="210F9287" w:rsidR="007E3507" w:rsidRPr="001250E9" w:rsidRDefault="007E3507" w:rsidP="007E3507">
            <w:pPr>
              <w:tabs>
                <w:tab w:val="left" w:pos="0"/>
              </w:tabs>
              <w:rPr>
                <w:rFonts w:ascii="Times New Roman" w:eastAsia="Calibri" w:hAnsi="Times New Roman" w:cs="Times New Roman"/>
                <w:noProof/>
                <w:sz w:val="20"/>
                <w:szCs w:val="20"/>
                <w:lang w:val="fr-FR"/>
              </w:rPr>
            </w:pPr>
            <w:r>
              <w:rPr>
                <w:rFonts w:ascii="Times New Roman" w:eastAsia="Calibri" w:hAnsi="Times New Roman" w:cs="Times New Roman"/>
                <w:noProof/>
                <w:sz w:val="20"/>
                <w:szCs w:val="20"/>
              </w:rPr>
              <w:t>N/A</w:t>
            </w:r>
          </w:p>
        </w:tc>
        <w:tc>
          <w:tcPr>
            <w:tcW w:w="2693" w:type="dxa"/>
          </w:tcPr>
          <w:p w14:paraId="10984F18" w14:textId="3C15907D" w:rsidR="007E3507" w:rsidRPr="00EE0597" w:rsidRDefault="007E3507" w:rsidP="007E3507">
            <w:pPr>
              <w:rPr>
                <w:rFonts w:ascii="Calibri" w:eastAsia="Calibri" w:hAnsi="Calibri" w:cs="Times New Roman"/>
                <w:sz w:val="20"/>
                <w:szCs w:val="20"/>
              </w:rPr>
            </w:pPr>
            <w:r>
              <w:rPr>
                <w:rFonts w:ascii="Times New Roman" w:eastAsia="Calibri" w:hAnsi="Times New Roman" w:cs="Times New Roman"/>
                <w:noProof/>
                <w:sz w:val="20"/>
                <w:szCs w:val="20"/>
              </w:rPr>
              <w:t>N/A</w:t>
            </w:r>
          </w:p>
        </w:tc>
      </w:tr>
      <w:tr w:rsidR="007E3507" w:rsidRPr="00215833" w14:paraId="1E0A11F8" w14:textId="77777777" w:rsidTr="00EE0597">
        <w:tc>
          <w:tcPr>
            <w:tcW w:w="625" w:type="dxa"/>
          </w:tcPr>
          <w:p w14:paraId="4608B4A5" w14:textId="77777777" w:rsidR="007E3507" w:rsidRPr="00215833" w:rsidRDefault="007E3507" w:rsidP="007E3507">
            <w:pPr>
              <w:jc w:val="right"/>
              <w:rPr>
                <w:rFonts w:ascii="Calibri" w:eastAsia="Calibri" w:hAnsi="Calibri" w:cs="Times New Roman"/>
                <w:i/>
                <w:iCs/>
                <w:noProof/>
                <w:sz w:val="20"/>
                <w:szCs w:val="20"/>
              </w:rPr>
            </w:pPr>
            <w:r w:rsidRPr="00215833">
              <w:rPr>
                <w:rFonts w:ascii="Calibri" w:eastAsia="Calibri" w:hAnsi="Calibri" w:cs="Times New Roman"/>
                <w:i/>
                <w:iCs/>
                <w:noProof/>
                <w:sz w:val="20"/>
                <w:szCs w:val="20"/>
              </w:rPr>
              <w:t>14.1</w:t>
            </w:r>
          </w:p>
        </w:tc>
        <w:tc>
          <w:tcPr>
            <w:tcW w:w="5675" w:type="dxa"/>
          </w:tcPr>
          <w:p w14:paraId="57070AA9" w14:textId="77777777" w:rsidR="007E3507" w:rsidRPr="001250E9" w:rsidRDefault="007E3507" w:rsidP="007E3507">
            <w:pPr>
              <w:jc w:val="both"/>
              <w:rPr>
                <w:rFonts w:ascii="Calibri" w:eastAsia="Calibri" w:hAnsi="Calibri" w:cs="Times New Roman"/>
                <w:i/>
                <w:iCs/>
                <w:noProof/>
                <w:sz w:val="20"/>
                <w:szCs w:val="20"/>
                <w:lang w:val="fr-FR"/>
              </w:rPr>
            </w:pPr>
            <w:r w:rsidRPr="00534F1D">
              <w:rPr>
                <w:rFonts w:ascii="Calibri" w:eastAsia="Calibri" w:hAnsi="Calibri" w:cs="Times New Roman"/>
                <w:i/>
                <w:iCs/>
                <w:noProof/>
                <w:sz w:val="20"/>
                <w:szCs w:val="20"/>
              </w:rPr>
              <w:t xml:space="preserve">Approbation de toute procédure de gestion E&amp;S requise </w:t>
            </w:r>
          </w:p>
        </w:tc>
        <w:tc>
          <w:tcPr>
            <w:tcW w:w="1985" w:type="dxa"/>
          </w:tcPr>
          <w:p w14:paraId="4430E4BD" w14:textId="77777777" w:rsidR="007E3507" w:rsidRPr="00215833" w:rsidRDefault="007E3507" w:rsidP="007E3507">
            <w:pPr>
              <w:rPr>
                <w:rFonts w:ascii="Calibri" w:eastAsia="Calibri" w:hAnsi="Calibri" w:cs="Times New Roman"/>
                <w:noProof/>
                <w:sz w:val="20"/>
                <w:szCs w:val="20"/>
              </w:rPr>
            </w:pPr>
            <w:r w:rsidRPr="00215833">
              <w:rPr>
                <w:rFonts w:ascii="Calibri" w:eastAsia="Calibri" w:hAnsi="Calibri" w:cs="Times New Roman"/>
                <w:noProof/>
                <w:sz w:val="20"/>
                <w:szCs w:val="20"/>
              </w:rPr>
              <w:t>Idem</w:t>
            </w:r>
          </w:p>
        </w:tc>
        <w:tc>
          <w:tcPr>
            <w:tcW w:w="4394" w:type="dxa"/>
          </w:tcPr>
          <w:p w14:paraId="22C3FD5B" w14:textId="2254DBF6" w:rsidR="007E3507" w:rsidRPr="00215833" w:rsidRDefault="007E3507" w:rsidP="007E3507">
            <w:pPr>
              <w:tabs>
                <w:tab w:val="left" w:pos="0"/>
              </w:tabs>
              <w:rPr>
                <w:rFonts w:ascii="Times New Roman" w:eastAsia="Calibri" w:hAnsi="Times New Roman" w:cs="Times New Roman"/>
                <w:noProof/>
                <w:sz w:val="20"/>
                <w:szCs w:val="20"/>
              </w:rPr>
            </w:pPr>
            <w:r>
              <w:rPr>
                <w:rFonts w:ascii="Times New Roman" w:eastAsia="Calibri" w:hAnsi="Times New Roman" w:cs="Times New Roman"/>
                <w:noProof/>
                <w:sz w:val="20"/>
                <w:szCs w:val="20"/>
              </w:rPr>
              <w:t>N/A</w:t>
            </w:r>
          </w:p>
        </w:tc>
        <w:tc>
          <w:tcPr>
            <w:tcW w:w="2693" w:type="dxa"/>
          </w:tcPr>
          <w:p w14:paraId="53DB459A" w14:textId="2C8729F6" w:rsidR="007E3507" w:rsidRPr="00215833" w:rsidRDefault="007E3507" w:rsidP="007E3507">
            <w:pPr>
              <w:rPr>
                <w:rFonts w:ascii="Calibri" w:eastAsia="Calibri" w:hAnsi="Calibri" w:cs="Times New Roman"/>
                <w:noProof/>
                <w:sz w:val="20"/>
                <w:szCs w:val="20"/>
              </w:rPr>
            </w:pPr>
            <w:r>
              <w:rPr>
                <w:rFonts w:ascii="Times New Roman" w:eastAsia="Calibri" w:hAnsi="Times New Roman" w:cs="Times New Roman"/>
                <w:noProof/>
                <w:sz w:val="20"/>
                <w:szCs w:val="20"/>
              </w:rPr>
              <w:t>N/A</w:t>
            </w:r>
          </w:p>
        </w:tc>
      </w:tr>
      <w:tr w:rsidR="007E3507" w:rsidRPr="00215833" w14:paraId="59004149" w14:textId="77777777" w:rsidTr="00EE0597">
        <w:tc>
          <w:tcPr>
            <w:tcW w:w="625" w:type="dxa"/>
          </w:tcPr>
          <w:p w14:paraId="03601597" w14:textId="77777777" w:rsidR="007E3507" w:rsidRPr="00215833" w:rsidRDefault="007E3507" w:rsidP="007E3507">
            <w:pPr>
              <w:jc w:val="right"/>
              <w:rPr>
                <w:rFonts w:ascii="Calibri" w:eastAsia="Calibri" w:hAnsi="Calibri" w:cs="Times New Roman"/>
                <w:i/>
                <w:iCs/>
                <w:noProof/>
                <w:sz w:val="20"/>
                <w:szCs w:val="20"/>
              </w:rPr>
            </w:pPr>
            <w:r w:rsidRPr="00215833">
              <w:rPr>
                <w:rFonts w:ascii="Calibri" w:eastAsia="Calibri" w:hAnsi="Calibri" w:cs="Times New Roman"/>
                <w:i/>
                <w:iCs/>
                <w:noProof/>
                <w:sz w:val="20"/>
                <w:szCs w:val="20"/>
              </w:rPr>
              <w:t>14.2</w:t>
            </w:r>
          </w:p>
        </w:tc>
        <w:tc>
          <w:tcPr>
            <w:tcW w:w="5675" w:type="dxa"/>
          </w:tcPr>
          <w:p w14:paraId="1828E1B4" w14:textId="77777777" w:rsidR="007E3507" w:rsidRPr="001250E9" w:rsidRDefault="007E3507" w:rsidP="007E3507">
            <w:pPr>
              <w:jc w:val="both"/>
              <w:rPr>
                <w:rFonts w:ascii="Calibri" w:eastAsia="Calibri" w:hAnsi="Calibri" w:cs="Times New Roman"/>
                <w:i/>
                <w:iCs/>
                <w:noProof/>
                <w:sz w:val="20"/>
                <w:szCs w:val="20"/>
                <w:lang w:val="fr-FR"/>
              </w:rPr>
            </w:pPr>
            <w:r w:rsidRPr="00534F1D">
              <w:rPr>
                <w:rFonts w:ascii="Calibri" w:eastAsia="Calibri" w:hAnsi="Calibri" w:cs="Times New Roman"/>
                <w:i/>
                <w:iCs/>
                <w:noProof/>
                <w:sz w:val="20"/>
                <w:szCs w:val="20"/>
              </w:rPr>
              <w:t>Mise en place de la fonction (Unité) E&amp;S</w:t>
            </w:r>
          </w:p>
        </w:tc>
        <w:tc>
          <w:tcPr>
            <w:tcW w:w="1985" w:type="dxa"/>
          </w:tcPr>
          <w:p w14:paraId="7367716E" w14:textId="77777777" w:rsidR="007E3507" w:rsidRPr="00215833" w:rsidRDefault="007E3507" w:rsidP="007E3507">
            <w:pPr>
              <w:rPr>
                <w:rFonts w:ascii="Calibri" w:eastAsia="Calibri" w:hAnsi="Calibri" w:cs="Times New Roman"/>
                <w:noProof/>
                <w:sz w:val="20"/>
                <w:szCs w:val="20"/>
              </w:rPr>
            </w:pPr>
            <w:r w:rsidRPr="00215833">
              <w:rPr>
                <w:rFonts w:ascii="Calibri" w:eastAsia="Calibri" w:hAnsi="Calibri" w:cs="Times New Roman"/>
                <w:noProof/>
                <w:sz w:val="20"/>
                <w:szCs w:val="20"/>
              </w:rPr>
              <w:t>idem</w:t>
            </w:r>
          </w:p>
        </w:tc>
        <w:tc>
          <w:tcPr>
            <w:tcW w:w="4394" w:type="dxa"/>
          </w:tcPr>
          <w:p w14:paraId="62778E42" w14:textId="586181AE" w:rsidR="007E3507" w:rsidRPr="001250E9" w:rsidRDefault="007E3507" w:rsidP="007E3507">
            <w:pPr>
              <w:tabs>
                <w:tab w:val="left" w:pos="0"/>
              </w:tabs>
              <w:rPr>
                <w:rFonts w:ascii="Times New Roman" w:eastAsia="Calibri" w:hAnsi="Times New Roman" w:cs="Times New Roman"/>
                <w:noProof/>
                <w:sz w:val="20"/>
                <w:szCs w:val="20"/>
                <w:lang w:val="fr-FR"/>
              </w:rPr>
            </w:pPr>
            <w:r>
              <w:rPr>
                <w:rFonts w:ascii="Times New Roman" w:eastAsia="Calibri" w:hAnsi="Times New Roman" w:cs="Times New Roman"/>
                <w:noProof/>
                <w:sz w:val="20"/>
                <w:szCs w:val="20"/>
              </w:rPr>
              <w:t>N/A</w:t>
            </w:r>
          </w:p>
        </w:tc>
        <w:tc>
          <w:tcPr>
            <w:tcW w:w="2693" w:type="dxa"/>
          </w:tcPr>
          <w:p w14:paraId="1F995936" w14:textId="2FB8DCB5" w:rsidR="007E3507" w:rsidRPr="00215833" w:rsidRDefault="007E3507" w:rsidP="007E3507">
            <w:pPr>
              <w:rPr>
                <w:rFonts w:ascii="Calibri" w:eastAsia="Calibri" w:hAnsi="Calibri" w:cs="Times New Roman"/>
                <w:noProof/>
                <w:sz w:val="20"/>
                <w:szCs w:val="20"/>
              </w:rPr>
            </w:pPr>
            <w:r>
              <w:rPr>
                <w:rFonts w:ascii="Times New Roman" w:eastAsia="Calibri" w:hAnsi="Times New Roman" w:cs="Times New Roman"/>
                <w:noProof/>
                <w:sz w:val="20"/>
                <w:szCs w:val="20"/>
              </w:rPr>
              <w:t>N/A</w:t>
            </w:r>
          </w:p>
        </w:tc>
      </w:tr>
      <w:tr w:rsidR="007E3507" w:rsidRPr="00215833" w14:paraId="404FEEC1" w14:textId="77777777" w:rsidTr="00EE0597">
        <w:tc>
          <w:tcPr>
            <w:tcW w:w="625" w:type="dxa"/>
          </w:tcPr>
          <w:p w14:paraId="79D57119" w14:textId="77777777" w:rsidR="007E3507" w:rsidRPr="00215833" w:rsidRDefault="007E3507" w:rsidP="007E3507">
            <w:pPr>
              <w:jc w:val="right"/>
              <w:rPr>
                <w:rFonts w:ascii="Calibri" w:eastAsia="Calibri" w:hAnsi="Calibri" w:cs="Times New Roman"/>
                <w:i/>
                <w:iCs/>
                <w:noProof/>
                <w:sz w:val="20"/>
                <w:szCs w:val="20"/>
              </w:rPr>
            </w:pPr>
            <w:r w:rsidRPr="00215833">
              <w:rPr>
                <w:rFonts w:ascii="Calibri" w:eastAsia="Calibri" w:hAnsi="Calibri" w:cs="Times New Roman"/>
                <w:i/>
                <w:iCs/>
                <w:noProof/>
                <w:sz w:val="20"/>
                <w:szCs w:val="20"/>
              </w:rPr>
              <w:t>14.3</w:t>
            </w:r>
          </w:p>
        </w:tc>
        <w:tc>
          <w:tcPr>
            <w:tcW w:w="5675" w:type="dxa"/>
          </w:tcPr>
          <w:p w14:paraId="0C60B549" w14:textId="77777777" w:rsidR="007E3507" w:rsidRPr="001250E9" w:rsidRDefault="007E3507" w:rsidP="007E3507">
            <w:pPr>
              <w:jc w:val="both"/>
              <w:rPr>
                <w:rFonts w:ascii="Calibri" w:eastAsia="Calibri" w:hAnsi="Calibri" w:cs="Times New Roman"/>
                <w:i/>
                <w:iCs/>
                <w:noProof/>
                <w:sz w:val="20"/>
                <w:szCs w:val="20"/>
                <w:lang w:val="fr-FR"/>
              </w:rPr>
            </w:pPr>
            <w:r w:rsidRPr="00534F1D">
              <w:rPr>
                <w:rFonts w:ascii="Calibri" w:eastAsia="Calibri" w:hAnsi="Calibri" w:cs="Times New Roman"/>
                <w:i/>
                <w:iCs/>
                <w:noProof/>
                <w:sz w:val="20"/>
                <w:szCs w:val="20"/>
              </w:rPr>
              <w:t>Renforcement des capacités de la fonction (Unité) E&amp;S</w:t>
            </w:r>
          </w:p>
        </w:tc>
        <w:tc>
          <w:tcPr>
            <w:tcW w:w="1985" w:type="dxa"/>
          </w:tcPr>
          <w:p w14:paraId="751765E4" w14:textId="77777777" w:rsidR="007E3507" w:rsidRPr="00215833" w:rsidRDefault="007E3507" w:rsidP="007E3507">
            <w:pPr>
              <w:rPr>
                <w:rFonts w:ascii="Calibri" w:eastAsia="Calibri" w:hAnsi="Calibri" w:cs="Times New Roman"/>
                <w:noProof/>
                <w:sz w:val="20"/>
                <w:szCs w:val="20"/>
              </w:rPr>
            </w:pPr>
            <w:r w:rsidRPr="00215833">
              <w:rPr>
                <w:rFonts w:ascii="Calibri" w:eastAsia="Calibri" w:hAnsi="Calibri" w:cs="Times New Roman"/>
                <w:noProof/>
                <w:sz w:val="20"/>
                <w:szCs w:val="20"/>
              </w:rPr>
              <w:t>idem</w:t>
            </w:r>
          </w:p>
        </w:tc>
        <w:tc>
          <w:tcPr>
            <w:tcW w:w="4394" w:type="dxa"/>
          </w:tcPr>
          <w:p w14:paraId="1DACDAC2" w14:textId="61F7E631" w:rsidR="007E3507" w:rsidRPr="00215833" w:rsidRDefault="007E3507" w:rsidP="007E3507">
            <w:pPr>
              <w:tabs>
                <w:tab w:val="left" w:pos="0"/>
              </w:tabs>
              <w:rPr>
                <w:rFonts w:ascii="Times New Roman" w:eastAsia="Calibri" w:hAnsi="Times New Roman" w:cs="Times New Roman"/>
                <w:noProof/>
                <w:sz w:val="20"/>
                <w:szCs w:val="20"/>
              </w:rPr>
            </w:pPr>
            <w:r>
              <w:rPr>
                <w:rFonts w:ascii="Times New Roman" w:eastAsia="Calibri" w:hAnsi="Times New Roman" w:cs="Times New Roman"/>
                <w:noProof/>
                <w:sz w:val="20"/>
                <w:szCs w:val="20"/>
              </w:rPr>
              <w:t>N/A</w:t>
            </w:r>
          </w:p>
        </w:tc>
        <w:tc>
          <w:tcPr>
            <w:tcW w:w="2693" w:type="dxa"/>
          </w:tcPr>
          <w:p w14:paraId="0B5112EE" w14:textId="7E46C8DA" w:rsidR="007E3507" w:rsidRPr="00215833" w:rsidRDefault="007E3507" w:rsidP="007E3507">
            <w:pPr>
              <w:rPr>
                <w:rFonts w:ascii="Calibri" w:eastAsia="Calibri" w:hAnsi="Calibri" w:cs="Times New Roman"/>
                <w:noProof/>
                <w:sz w:val="20"/>
                <w:szCs w:val="20"/>
              </w:rPr>
            </w:pPr>
            <w:r>
              <w:rPr>
                <w:rFonts w:ascii="Times New Roman" w:eastAsia="Calibri" w:hAnsi="Times New Roman" w:cs="Times New Roman"/>
                <w:noProof/>
                <w:sz w:val="20"/>
                <w:szCs w:val="20"/>
              </w:rPr>
              <w:t>N/A</w:t>
            </w:r>
          </w:p>
        </w:tc>
      </w:tr>
      <w:tr w:rsidR="007E3507" w:rsidRPr="00215833" w14:paraId="6023FCBD" w14:textId="77777777" w:rsidTr="00EE0597">
        <w:tc>
          <w:tcPr>
            <w:tcW w:w="625" w:type="dxa"/>
          </w:tcPr>
          <w:p w14:paraId="55874817" w14:textId="77777777" w:rsidR="007E3507" w:rsidRPr="00215833" w:rsidRDefault="007E3507" w:rsidP="007E3507">
            <w:pPr>
              <w:jc w:val="right"/>
              <w:rPr>
                <w:rFonts w:ascii="Calibri" w:eastAsia="Calibri" w:hAnsi="Calibri" w:cs="Times New Roman"/>
                <w:i/>
                <w:iCs/>
                <w:noProof/>
                <w:sz w:val="20"/>
                <w:szCs w:val="20"/>
              </w:rPr>
            </w:pPr>
            <w:r w:rsidRPr="00215833">
              <w:rPr>
                <w:rFonts w:ascii="Calibri" w:eastAsia="Calibri" w:hAnsi="Calibri" w:cs="Times New Roman"/>
                <w:i/>
                <w:iCs/>
                <w:noProof/>
                <w:sz w:val="20"/>
                <w:szCs w:val="20"/>
              </w:rPr>
              <w:t>14.4</w:t>
            </w:r>
          </w:p>
        </w:tc>
        <w:tc>
          <w:tcPr>
            <w:tcW w:w="5675" w:type="dxa"/>
          </w:tcPr>
          <w:p w14:paraId="41E57C5D" w14:textId="77777777" w:rsidR="007E3507" w:rsidRPr="001250E9" w:rsidRDefault="007E3507" w:rsidP="007E3507">
            <w:pPr>
              <w:jc w:val="both"/>
              <w:rPr>
                <w:rFonts w:ascii="Calibri" w:eastAsia="Calibri" w:hAnsi="Calibri" w:cs="Times New Roman"/>
                <w:i/>
                <w:iCs/>
                <w:noProof/>
                <w:sz w:val="20"/>
                <w:szCs w:val="20"/>
                <w:lang w:val="fr-FR"/>
              </w:rPr>
            </w:pPr>
            <w:r w:rsidRPr="00534F1D">
              <w:rPr>
                <w:rFonts w:ascii="Calibri" w:eastAsia="Calibri" w:hAnsi="Calibri" w:cs="Times New Roman"/>
                <w:i/>
                <w:iCs/>
                <w:noProof/>
                <w:sz w:val="20"/>
                <w:szCs w:val="20"/>
              </w:rPr>
              <w:t xml:space="preserve">Traitement de la chaîne de valeur de la due diligence E&amp;S </w:t>
            </w:r>
          </w:p>
        </w:tc>
        <w:tc>
          <w:tcPr>
            <w:tcW w:w="1985" w:type="dxa"/>
          </w:tcPr>
          <w:p w14:paraId="1BE0C5BE" w14:textId="77777777" w:rsidR="007E3507" w:rsidRPr="00215833" w:rsidRDefault="007E3507" w:rsidP="007E3507">
            <w:pPr>
              <w:rPr>
                <w:rFonts w:ascii="Calibri" w:eastAsia="Calibri" w:hAnsi="Calibri" w:cs="Times New Roman"/>
                <w:noProof/>
                <w:sz w:val="20"/>
                <w:szCs w:val="20"/>
              </w:rPr>
            </w:pPr>
            <w:r w:rsidRPr="00215833">
              <w:rPr>
                <w:rFonts w:ascii="Calibri" w:eastAsia="Calibri" w:hAnsi="Calibri" w:cs="Times New Roman"/>
                <w:noProof/>
                <w:sz w:val="20"/>
                <w:szCs w:val="20"/>
              </w:rPr>
              <w:t>idem</w:t>
            </w:r>
          </w:p>
        </w:tc>
        <w:tc>
          <w:tcPr>
            <w:tcW w:w="4394" w:type="dxa"/>
          </w:tcPr>
          <w:p w14:paraId="190EC837" w14:textId="7C945857" w:rsidR="007E3507" w:rsidRPr="00215833" w:rsidRDefault="007E3507" w:rsidP="007E3507">
            <w:pPr>
              <w:tabs>
                <w:tab w:val="left" w:pos="0"/>
              </w:tabs>
              <w:rPr>
                <w:rFonts w:ascii="Times New Roman" w:eastAsia="Calibri" w:hAnsi="Times New Roman" w:cs="Times New Roman"/>
                <w:noProof/>
                <w:sz w:val="20"/>
                <w:szCs w:val="20"/>
              </w:rPr>
            </w:pPr>
            <w:r>
              <w:rPr>
                <w:rFonts w:ascii="Times New Roman" w:eastAsia="Calibri" w:hAnsi="Times New Roman" w:cs="Times New Roman"/>
                <w:noProof/>
                <w:sz w:val="20"/>
                <w:szCs w:val="20"/>
              </w:rPr>
              <w:t>N/A</w:t>
            </w:r>
          </w:p>
        </w:tc>
        <w:tc>
          <w:tcPr>
            <w:tcW w:w="2693" w:type="dxa"/>
          </w:tcPr>
          <w:p w14:paraId="6723B6AD" w14:textId="620DF944" w:rsidR="007E3507" w:rsidRPr="00215833" w:rsidRDefault="007E3507" w:rsidP="007E3507">
            <w:pPr>
              <w:rPr>
                <w:rFonts w:ascii="Calibri" w:eastAsia="Calibri" w:hAnsi="Calibri" w:cs="Times New Roman"/>
                <w:noProof/>
                <w:sz w:val="20"/>
                <w:szCs w:val="20"/>
              </w:rPr>
            </w:pPr>
            <w:r>
              <w:rPr>
                <w:rFonts w:ascii="Times New Roman" w:eastAsia="Calibri" w:hAnsi="Times New Roman" w:cs="Times New Roman"/>
                <w:noProof/>
                <w:sz w:val="20"/>
                <w:szCs w:val="20"/>
              </w:rPr>
              <w:t>N/A</w:t>
            </w:r>
          </w:p>
        </w:tc>
      </w:tr>
      <w:tr w:rsidR="007E3507" w:rsidRPr="00215833" w14:paraId="0B3E3C38" w14:textId="77777777" w:rsidTr="00EE0597">
        <w:tc>
          <w:tcPr>
            <w:tcW w:w="625" w:type="dxa"/>
          </w:tcPr>
          <w:p w14:paraId="5FA3BC18" w14:textId="77777777" w:rsidR="007E3507" w:rsidRPr="00215833" w:rsidRDefault="007E3507" w:rsidP="007E3507">
            <w:pPr>
              <w:jc w:val="center"/>
              <w:rPr>
                <w:rFonts w:ascii="Calibri" w:eastAsia="Calibri" w:hAnsi="Calibri" w:cs="Times New Roman"/>
                <w:noProof/>
                <w:sz w:val="20"/>
                <w:szCs w:val="20"/>
              </w:rPr>
            </w:pPr>
          </w:p>
          <w:p w14:paraId="2773D1F7" w14:textId="77777777" w:rsidR="007E3507" w:rsidRPr="00215833" w:rsidRDefault="007E3507" w:rsidP="007E3507">
            <w:pPr>
              <w:jc w:val="center"/>
              <w:rPr>
                <w:rFonts w:ascii="Calibri" w:eastAsia="Calibri" w:hAnsi="Calibri" w:cs="Times New Roman"/>
                <w:noProof/>
                <w:sz w:val="20"/>
                <w:szCs w:val="20"/>
              </w:rPr>
            </w:pPr>
            <w:r w:rsidRPr="00215833">
              <w:rPr>
                <w:rFonts w:ascii="Calibri" w:eastAsia="Calibri" w:hAnsi="Calibri" w:cs="Times New Roman"/>
                <w:noProof/>
                <w:sz w:val="20"/>
                <w:szCs w:val="20"/>
              </w:rPr>
              <w:t>15</w:t>
            </w:r>
          </w:p>
        </w:tc>
        <w:tc>
          <w:tcPr>
            <w:tcW w:w="5675" w:type="dxa"/>
          </w:tcPr>
          <w:p w14:paraId="214AC421" w14:textId="77777777" w:rsidR="007E3507" w:rsidRPr="001250E9" w:rsidRDefault="007E3507" w:rsidP="007E3507">
            <w:pPr>
              <w:jc w:val="both"/>
              <w:rPr>
                <w:rFonts w:ascii="Calibri" w:eastAsia="Calibri" w:hAnsi="Calibri" w:cs="Times New Roman"/>
                <w:noProof/>
                <w:sz w:val="20"/>
                <w:szCs w:val="20"/>
                <w:lang w:val="fr-FR"/>
              </w:rPr>
            </w:pPr>
            <w:r w:rsidRPr="00534F1D">
              <w:rPr>
                <w:rFonts w:ascii="Calibri" w:eastAsia="Calibri" w:hAnsi="Calibri" w:cs="Times New Roman"/>
                <w:noProof/>
                <w:sz w:val="20"/>
                <w:szCs w:val="20"/>
              </w:rPr>
              <w:t>Suspendre les travaux en cas de risques ou accidents ESST, notifier immédiatement la Banque, puis ne reprendre les travaux qu’après avis de la Banque.</w:t>
            </w:r>
          </w:p>
        </w:tc>
        <w:tc>
          <w:tcPr>
            <w:tcW w:w="1985" w:type="dxa"/>
          </w:tcPr>
          <w:p w14:paraId="4C52DFD5" w14:textId="77777777" w:rsidR="007E3507" w:rsidRPr="001250E9" w:rsidRDefault="007E3507" w:rsidP="007E3507">
            <w:pPr>
              <w:rPr>
                <w:rFonts w:ascii="Calibri" w:eastAsia="Calibri" w:hAnsi="Calibri" w:cs="Times New Roman"/>
                <w:sz w:val="20"/>
                <w:szCs w:val="20"/>
                <w:lang w:val="fr-FR"/>
              </w:rPr>
            </w:pPr>
          </w:p>
          <w:p w14:paraId="2261D0E9" w14:textId="77777777" w:rsidR="007E3507" w:rsidRPr="001250E9" w:rsidRDefault="007E3507" w:rsidP="007E3507">
            <w:pPr>
              <w:rPr>
                <w:rFonts w:ascii="Calibri" w:eastAsia="Calibri" w:hAnsi="Calibri" w:cs="Times New Roman"/>
                <w:noProof/>
                <w:sz w:val="20"/>
                <w:szCs w:val="20"/>
                <w:lang w:val="fr-FR"/>
              </w:rPr>
            </w:pPr>
            <w:r w:rsidRPr="00534F1D">
              <w:rPr>
                <w:rFonts w:ascii="Calibri" w:eastAsia="Calibri" w:hAnsi="Calibri" w:cs="Times New Roman"/>
                <w:sz w:val="20"/>
                <w:szCs w:val="20"/>
              </w:rPr>
              <w:t>PES de la Banque et SO1</w:t>
            </w:r>
          </w:p>
        </w:tc>
        <w:tc>
          <w:tcPr>
            <w:tcW w:w="4394" w:type="dxa"/>
          </w:tcPr>
          <w:p w14:paraId="1D984F04" w14:textId="4D2082B0" w:rsidR="007E3507" w:rsidRPr="001250E9" w:rsidRDefault="007E3507" w:rsidP="007E3507">
            <w:pPr>
              <w:tabs>
                <w:tab w:val="left" w:pos="0"/>
              </w:tabs>
              <w:rPr>
                <w:rFonts w:ascii="Times New Roman" w:eastAsia="Calibri" w:hAnsi="Times New Roman" w:cs="Times New Roman"/>
                <w:noProof/>
                <w:sz w:val="20"/>
                <w:szCs w:val="20"/>
                <w:lang w:val="fr-FR"/>
              </w:rPr>
            </w:pPr>
            <w:r>
              <w:rPr>
                <w:rFonts w:ascii="Times New Roman" w:eastAsia="Calibri" w:hAnsi="Times New Roman" w:cs="Times New Roman"/>
                <w:noProof/>
                <w:sz w:val="20"/>
                <w:szCs w:val="20"/>
              </w:rPr>
              <w:t>N/A</w:t>
            </w:r>
          </w:p>
        </w:tc>
        <w:tc>
          <w:tcPr>
            <w:tcW w:w="2693" w:type="dxa"/>
          </w:tcPr>
          <w:p w14:paraId="771C1428" w14:textId="734283BC" w:rsidR="007E3507" w:rsidRPr="001250E9" w:rsidRDefault="007E3507" w:rsidP="007E3507">
            <w:pPr>
              <w:rPr>
                <w:rFonts w:ascii="Calibri" w:eastAsia="Calibri" w:hAnsi="Calibri" w:cs="Times New Roman"/>
                <w:noProof/>
                <w:sz w:val="20"/>
                <w:szCs w:val="20"/>
                <w:lang w:val="fr-FR"/>
              </w:rPr>
            </w:pPr>
            <w:r>
              <w:rPr>
                <w:rFonts w:ascii="Times New Roman" w:eastAsia="Calibri" w:hAnsi="Times New Roman" w:cs="Times New Roman"/>
                <w:noProof/>
                <w:sz w:val="20"/>
                <w:szCs w:val="20"/>
              </w:rPr>
              <w:t>N/A</w:t>
            </w:r>
          </w:p>
        </w:tc>
      </w:tr>
      <w:tr w:rsidR="007E3507" w:rsidRPr="00215833" w14:paraId="09579FA7" w14:textId="77777777" w:rsidTr="00EE0597">
        <w:tc>
          <w:tcPr>
            <w:tcW w:w="625" w:type="dxa"/>
          </w:tcPr>
          <w:p w14:paraId="6D98E338" w14:textId="77777777" w:rsidR="007E3507" w:rsidRPr="00215833" w:rsidRDefault="007E3507" w:rsidP="007E3507">
            <w:pPr>
              <w:jc w:val="center"/>
              <w:rPr>
                <w:rFonts w:ascii="Calibri" w:eastAsia="Calibri" w:hAnsi="Calibri" w:cs="Times New Roman"/>
                <w:noProof/>
                <w:sz w:val="20"/>
                <w:szCs w:val="20"/>
              </w:rPr>
            </w:pPr>
            <w:r w:rsidRPr="00215833">
              <w:rPr>
                <w:rFonts w:ascii="Calibri" w:eastAsia="Calibri" w:hAnsi="Calibri" w:cs="Times New Roman"/>
                <w:noProof/>
                <w:sz w:val="20"/>
                <w:szCs w:val="20"/>
              </w:rPr>
              <w:lastRenderedPageBreak/>
              <w:t>16</w:t>
            </w:r>
          </w:p>
        </w:tc>
        <w:tc>
          <w:tcPr>
            <w:tcW w:w="5675" w:type="dxa"/>
          </w:tcPr>
          <w:p w14:paraId="1D51C1FF" w14:textId="77777777" w:rsidR="007E3507" w:rsidRPr="001250E9" w:rsidRDefault="007E3507" w:rsidP="007E3507">
            <w:pPr>
              <w:jc w:val="both"/>
              <w:rPr>
                <w:rFonts w:ascii="Calibri" w:eastAsia="Calibri" w:hAnsi="Calibri" w:cs="Times New Roman"/>
                <w:noProof/>
                <w:sz w:val="20"/>
                <w:szCs w:val="20"/>
                <w:lang w:val="fr-FR"/>
              </w:rPr>
            </w:pPr>
            <w:r w:rsidRPr="00534F1D">
              <w:rPr>
                <w:rFonts w:ascii="Calibri" w:eastAsia="Calibri" w:hAnsi="Calibri" w:cs="Times New Roman"/>
                <w:noProof/>
                <w:sz w:val="20"/>
                <w:szCs w:val="20"/>
              </w:rPr>
              <w:t>Préparer l’analyse des causes profondes (ACP) de tout accident ESST fatal, et mettre en œuvre le Plan d’actions Correctives (PAC).</w:t>
            </w:r>
          </w:p>
        </w:tc>
        <w:tc>
          <w:tcPr>
            <w:tcW w:w="1985" w:type="dxa"/>
          </w:tcPr>
          <w:p w14:paraId="648C27C7" w14:textId="77777777" w:rsidR="007E3507" w:rsidRPr="001250E9" w:rsidRDefault="007E3507" w:rsidP="007E3507">
            <w:pPr>
              <w:rPr>
                <w:rFonts w:ascii="Calibri" w:eastAsia="Calibri" w:hAnsi="Calibri" w:cs="Times New Roman"/>
                <w:noProof/>
                <w:sz w:val="20"/>
                <w:szCs w:val="20"/>
                <w:lang w:val="fr-FR"/>
              </w:rPr>
            </w:pPr>
            <w:r w:rsidRPr="00534F1D">
              <w:rPr>
                <w:rFonts w:ascii="Calibri" w:eastAsia="Calibri" w:hAnsi="Calibri" w:cs="Times New Roman"/>
                <w:sz w:val="20"/>
                <w:szCs w:val="20"/>
              </w:rPr>
              <w:t>PES de la Banque et SO1</w:t>
            </w:r>
          </w:p>
        </w:tc>
        <w:tc>
          <w:tcPr>
            <w:tcW w:w="4394" w:type="dxa"/>
          </w:tcPr>
          <w:p w14:paraId="6FDEFCD1" w14:textId="59C4AF6B" w:rsidR="007E3507" w:rsidRPr="001250E9" w:rsidRDefault="007E3507" w:rsidP="007E3507">
            <w:pPr>
              <w:tabs>
                <w:tab w:val="left" w:pos="0"/>
              </w:tabs>
              <w:rPr>
                <w:rFonts w:ascii="Times New Roman" w:eastAsia="Calibri" w:hAnsi="Times New Roman" w:cs="Times New Roman"/>
                <w:noProof/>
                <w:sz w:val="20"/>
                <w:szCs w:val="20"/>
                <w:lang w:val="fr-FR"/>
              </w:rPr>
            </w:pPr>
            <w:r>
              <w:rPr>
                <w:rFonts w:ascii="Times New Roman" w:eastAsia="Calibri" w:hAnsi="Times New Roman" w:cs="Times New Roman"/>
                <w:noProof/>
                <w:sz w:val="20"/>
                <w:szCs w:val="20"/>
              </w:rPr>
              <w:t>N/A</w:t>
            </w:r>
          </w:p>
        </w:tc>
        <w:tc>
          <w:tcPr>
            <w:tcW w:w="2693" w:type="dxa"/>
          </w:tcPr>
          <w:p w14:paraId="5895E3F9" w14:textId="698A79E7" w:rsidR="007E3507" w:rsidRPr="00215833" w:rsidRDefault="007E3507" w:rsidP="007E3507">
            <w:pPr>
              <w:rPr>
                <w:rFonts w:ascii="Calibri" w:eastAsia="Calibri" w:hAnsi="Calibri" w:cs="Times New Roman"/>
                <w:noProof/>
                <w:sz w:val="20"/>
                <w:szCs w:val="20"/>
              </w:rPr>
            </w:pPr>
            <w:r>
              <w:rPr>
                <w:rFonts w:ascii="Times New Roman" w:eastAsia="Calibri" w:hAnsi="Times New Roman" w:cs="Times New Roman"/>
                <w:noProof/>
                <w:sz w:val="20"/>
                <w:szCs w:val="20"/>
              </w:rPr>
              <w:t>N/A</w:t>
            </w:r>
          </w:p>
        </w:tc>
      </w:tr>
      <w:tr w:rsidR="00FF53B6" w:rsidRPr="00215833" w14:paraId="79384E8A" w14:textId="77777777" w:rsidTr="00EE0597">
        <w:tc>
          <w:tcPr>
            <w:tcW w:w="625" w:type="dxa"/>
          </w:tcPr>
          <w:p w14:paraId="01947521" w14:textId="77777777" w:rsidR="00FF53B6" w:rsidRPr="00215833" w:rsidRDefault="00FF53B6" w:rsidP="00FF53B6">
            <w:pPr>
              <w:jc w:val="center"/>
              <w:rPr>
                <w:rFonts w:ascii="Calibri" w:eastAsia="Calibri" w:hAnsi="Calibri" w:cs="Times New Roman"/>
                <w:noProof/>
                <w:sz w:val="20"/>
                <w:szCs w:val="20"/>
              </w:rPr>
            </w:pPr>
            <w:r w:rsidRPr="00215833">
              <w:rPr>
                <w:rFonts w:ascii="Calibri" w:eastAsia="Calibri" w:hAnsi="Calibri" w:cs="Times New Roman"/>
                <w:noProof/>
                <w:sz w:val="20"/>
                <w:szCs w:val="20"/>
              </w:rPr>
              <w:t>17</w:t>
            </w:r>
          </w:p>
        </w:tc>
        <w:tc>
          <w:tcPr>
            <w:tcW w:w="5675" w:type="dxa"/>
          </w:tcPr>
          <w:p w14:paraId="375E33F4" w14:textId="77777777" w:rsidR="00FF53B6" w:rsidRPr="001250E9" w:rsidRDefault="00FF53B6" w:rsidP="00FF53B6">
            <w:pPr>
              <w:jc w:val="both"/>
              <w:rPr>
                <w:rFonts w:ascii="Calibri" w:eastAsia="Calibri" w:hAnsi="Calibri" w:cs="Times New Roman"/>
                <w:noProof/>
                <w:sz w:val="20"/>
                <w:szCs w:val="20"/>
                <w:lang w:val="fr-FR"/>
              </w:rPr>
            </w:pPr>
            <w:r w:rsidRPr="00534F1D">
              <w:rPr>
                <w:rFonts w:ascii="Calibri" w:eastAsia="Calibri" w:hAnsi="Calibri" w:cs="Times New Roman"/>
                <w:noProof/>
                <w:sz w:val="20"/>
                <w:szCs w:val="20"/>
              </w:rPr>
              <w:t>Diffusion au public des rapports E&amp;S du projet</w:t>
            </w:r>
          </w:p>
        </w:tc>
        <w:tc>
          <w:tcPr>
            <w:tcW w:w="1985" w:type="dxa"/>
          </w:tcPr>
          <w:p w14:paraId="33FBDDA0" w14:textId="77777777" w:rsidR="00FF53B6" w:rsidRPr="001250E9" w:rsidRDefault="00FF53B6" w:rsidP="00EE0597">
            <w:pPr>
              <w:rPr>
                <w:rFonts w:ascii="Calibri" w:eastAsia="Calibri" w:hAnsi="Calibri" w:cs="Times New Roman"/>
                <w:noProof/>
                <w:sz w:val="20"/>
                <w:szCs w:val="20"/>
                <w:lang w:val="fr-FR"/>
              </w:rPr>
            </w:pPr>
            <w:r w:rsidRPr="00534F1D">
              <w:rPr>
                <w:rFonts w:ascii="Calibri" w:eastAsia="Calibri" w:hAnsi="Calibri" w:cs="Times New Roman"/>
                <w:sz w:val="20"/>
                <w:szCs w:val="20"/>
              </w:rPr>
              <w:t>SO1, SO10 et Politique de diffusion et d’accès à l’information</w:t>
            </w:r>
          </w:p>
        </w:tc>
        <w:tc>
          <w:tcPr>
            <w:tcW w:w="4394" w:type="dxa"/>
          </w:tcPr>
          <w:p w14:paraId="60721B17" w14:textId="646D0487" w:rsidR="00FF53B6" w:rsidRPr="001250E9" w:rsidRDefault="00FF53B6" w:rsidP="00EE0597">
            <w:pPr>
              <w:tabs>
                <w:tab w:val="left" w:pos="0"/>
              </w:tabs>
              <w:rPr>
                <w:rFonts w:ascii="Times New Roman" w:eastAsia="Calibri" w:hAnsi="Times New Roman" w:cs="Times New Roman"/>
                <w:noProof/>
                <w:sz w:val="20"/>
                <w:szCs w:val="20"/>
                <w:lang w:val="fr-FR"/>
              </w:rPr>
            </w:pPr>
            <w:r w:rsidRPr="00534F1D">
              <w:rPr>
                <w:rFonts w:ascii="Times New Roman" w:eastAsia="Calibri" w:hAnsi="Times New Roman" w:cs="Times New Roman"/>
                <w:noProof/>
                <w:sz w:val="20"/>
                <w:szCs w:val="20"/>
              </w:rPr>
              <w:t>Preuves de la divulgation desdits rapports E&amp;S publiés (lien internet, médias, etc.)</w:t>
            </w:r>
          </w:p>
        </w:tc>
        <w:tc>
          <w:tcPr>
            <w:tcW w:w="2693" w:type="dxa"/>
          </w:tcPr>
          <w:p w14:paraId="148624A3" w14:textId="60727840" w:rsidR="00FF53B6" w:rsidRPr="001250E9" w:rsidRDefault="00FF53B6" w:rsidP="00EE0597">
            <w:pPr>
              <w:rPr>
                <w:rFonts w:ascii="Calibri" w:eastAsia="Calibri" w:hAnsi="Calibri" w:cs="Times New Roman"/>
                <w:noProof/>
                <w:sz w:val="20"/>
                <w:szCs w:val="20"/>
                <w:lang w:val="fr-FR"/>
              </w:rPr>
            </w:pPr>
            <w:r w:rsidRPr="00534F1D">
              <w:rPr>
                <w:rFonts w:ascii="Calibri" w:eastAsia="Calibri" w:hAnsi="Calibri" w:cs="Times New Roman"/>
                <w:noProof/>
                <w:sz w:val="20"/>
                <w:szCs w:val="20"/>
              </w:rPr>
              <w:t xml:space="preserve">Durant la mise en oeuvre </w:t>
            </w:r>
          </w:p>
        </w:tc>
      </w:tr>
    </w:tbl>
    <w:p w14:paraId="6B350EE7" w14:textId="6F98A800" w:rsidR="00DC6BC2" w:rsidRDefault="00DC6BC2" w:rsidP="00215833">
      <w:pPr>
        <w:spacing w:after="0" w:line="240" w:lineRule="auto"/>
      </w:pPr>
    </w:p>
    <w:sectPr w:rsidR="00DC6BC2" w:rsidSect="0021583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2B0DF" w14:textId="77777777" w:rsidR="00D32376" w:rsidRDefault="00D32376" w:rsidP="00215833">
      <w:pPr>
        <w:spacing w:after="0" w:line="240" w:lineRule="auto"/>
      </w:pPr>
      <w:r>
        <w:separator/>
      </w:r>
    </w:p>
  </w:endnote>
  <w:endnote w:type="continuationSeparator" w:id="0">
    <w:p w14:paraId="18BB131B" w14:textId="77777777" w:rsidR="00D32376" w:rsidRDefault="00D32376" w:rsidP="00215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AFF66" w14:textId="77777777" w:rsidR="00D32376" w:rsidRDefault="00D32376" w:rsidP="00215833">
      <w:pPr>
        <w:spacing w:after="0" w:line="240" w:lineRule="auto"/>
      </w:pPr>
      <w:r>
        <w:separator/>
      </w:r>
    </w:p>
  </w:footnote>
  <w:footnote w:type="continuationSeparator" w:id="0">
    <w:p w14:paraId="6B85D3FE" w14:textId="77777777" w:rsidR="00D32376" w:rsidRDefault="00D32376" w:rsidP="00215833">
      <w:pPr>
        <w:spacing w:after="0" w:line="240" w:lineRule="auto"/>
      </w:pPr>
      <w:r>
        <w:continuationSeparator/>
      </w:r>
    </w:p>
  </w:footnote>
  <w:footnote w:id="1">
    <w:p w14:paraId="63D04D33" w14:textId="77777777" w:rsidR="00215833" w:rsidRPr="0065526B" w:rsidRDefault="00215833" w:rsidP="00215833">
      <w:pPr>
        <w:pStyle w:val="Notedebasdepage"/>
        <w:rPr>
          <w:rFonts w:ascii="Times New Roman" w:hAnsi="Times New Roman" w:cs="Times New Roman"/>
          <w:sz w:val="14"/>
          <w:szCs w:val="14"/>
          <w:lang w:val="fr-FR"/>
        </w:rPr>
      </w:pPr>
      <w:r w:rsidRPr="0065526B">
        <w:rPr>
          <w:rStyle w:val="Appelnotedebasdep"/>
          <w:rFonts w:ascii="Times New Roman" w:hAnsi="Times New Roman" w:cs="Times New Roman"/>
          <w:sz w:val="14"/>
          <w:szCs w:val="14"/>
        </w:rPr>
        <w:footnoteRef/>
      </w:r>
      <w:r w:rsidRPr="0065526B">
        <w:rPr>
          <w:rFonts w:ascii="Times New Roman" w:hAnsi="Times New Roman" w:cs="Times New Roman"/>
          <w:sz w:val="14"/>
          <w:szCs w:val="14"/>
          <w:lang w:val="fr-FR"/>
        </w:rPr>
        <w:t xml:space="preserve"> Le PGES fait référence à tous les risques/impacts et mesures E&amp;S, tels qu’approuvés dans tous les documents E&amp;S </w:t>
      </w:r>
      <w:r>
        <w:rPr>
          <w:rFonts w:ascii="Times New Roman" w:hAnsi="Times New Roman" w:cs="Times New Roman"/>
          <w:sz w:val="14"/>
          <w:szCs w:val="14"/>
          <w:lang w:val="fr-FR"/>
        </w:rPr>
        <w:t>publiés</w:t>
      </w:r>
      <w:r w:rsidRPr="0065526B">
        <w:rPr>
          <w:rFonts w:ascii="Times New Roman" w:hAnsi="Times New Roman" w:cs="Times New Roman"/>
          <w:sz w:val="14"/>
          <w:szCs w:val="14"/>
          <w:lang w:val="fr-FR"/>
        </w:rPr>
        <w:t xml:space="preserve"> et convenus entre la Banque et l’Emprunteur. Pour les projets impliquant plusieurs sous-projets identifiés, préparés et mis en œuvre au cours du projet, l'Emprunteur devra démontrer à la Banque, avant l'évaluation du projet, en préparant la documentation E&amp;S d'un échantillon de sous-projets, qu'il a la capacité de réaliser une évaluation environnementale et sociale appropriée des sous-projets, de préparer et de mettre en œuvre ces sous-projets conformément aux lois nationales et aux SO. (</w:t>
      </w:r>
      <w:r w:rsidRPr="0065526B">
        <w:rPr>
          <w:rFonts w:ascii="Times New Roman" w:hAnsi="Times New Roman" w:cs="Times New Roman"/>
          <w:b/>
          <w:bCs/>
          <w:i/>
          <w:iCs/>
          <w:sz w:val="14"/>
          <w:szCs w:val="14"/>
          <w:lang w:val="fr-FR"/>
        </w:rPr>
        <w:t>Section III.2.3 PES de la Banque et section D de la SO1</w:t>
      </w:r>
      <w:r w:rsidRPr="0065526B">
        <w:rPr>
          <w:rFonts w:ascii="Times New Roman" w:hAnsi="Times New Roman" w:cs="Times New Roman"/>
          <w:sz w:val="14"/>
          <w:szCs w:val="14"/>
          <w:lang w:val="fr-FR"/>
        </w:rPr>
        <w:t>).</w:t>
      </w:r>
    </w:p>
  </w:footnote>
  <w:footnote w:id="2">
    <w:p w14:paraId="492E80E2" w14:textId="77777777" w:rsidR="00215833" w:rsidRPr="00B9463E" w:rsidRDefault="00215833" w:rsidP="00215833">
      <w:pPr>
        <w:pStyle w:val="Notedebasdepage"/>
        <w:rPr>
          <w:rFonts w:ascii="Times New Roman" w:hAnsi="Times New Roman" w:cs="Times New Roman"/>
          <w:sz w:val="14"/>
          <w:szCs w:val="14"/>
          <w:lang w:val="fr-FR"/>
        </w:rPr>
      </w:pPr>
      <w:r w:rsidRPr="00B9463E">
        <w:rPr>
          <w:rStyle w:val="Appelnotedebasdep"/>
          <w:rFonts w:ascii="Times New Roman" w:hAnsi="Times New Roman" w:cs="Times New Roman"/>
          <w:sz w:val="14"/>
          <w:szCs w:val="14"/>
        </w:rPr>
        <w:footnoteRef/>
      </w:r>
      <w:r w:rsidRPr="00B9463E">
        <w:rPr>
          <w:rFonts w:ascii="Times New Roman" w:hAnsi="Times New Roman" w:cs="Times New Roman"/>
          <w:sz w:val="14"/>
          <w:szCs w:val="14"/>
          <w:lang w:val="fr-FR"/>
        </w:rPr>
        <w:t xml:space="preserve"> Veuillez ajouter toute action clé pertinente et/ou indiquer "Non applicable" dans la troisième colonne ("Fondement de l'exigence") pour les actions qui ne sont pas applicables au projet.</w:t>
      </w:r>
    </w:p>
  </w:footnote>
  <w:footnote w:id="3">
    <w:p w14:paraId="181340C9" w14:textId="77777777" w:rsidR="007E3507" w:rsidRPr="00A944D1" w:rsidRDefault="007E3507" w:rsidP="00215833">
      <w:pPr>
        <w:pStyle w:val="Notedebasdepage"/>
        <w:rPr>
          <w:rFonts w:ascii="Times New Roman" w:hAnsi="Times New Roman" w:cs="Times New Roman"/>
          <w:sz w:val="14"/>
          <w:szCs w:val="14"/>
          <w:lang w:val="fr-FR"/>
        </w:rPr>
      </w:pPr>
      <w:r w:rsidRPr="0065526B">
        <w:rPr>
          <w:rStyle w:val="Appelnotedebasdep"/>
          <w:rFonts w:ascii="Times New Roman" w:hAnsi="Times New Roman" w:cs="Times New Roman"/>
          <w:sz w:val="14"/>
          <w:szCs w:val="14"/>
        </w:rPr>
        <w:footnoteRef/>
      </w:r>
      <w:r w:rsidRPr="00A944D1">
        <w:rPr>
          <w:rFonts w:ascii="Times New Roman" w:hAnsi="Times New Roman" w:cs="Times New Roman"/>
          <w:sz w:val="14"/>
          <w:szCs w:val="14"/>
          <w:lang w:val="fr-FR"/>
        </w:rPr>
        <w:t xml:space="preserve"> S’applique aux opérations non-souveraines et les </w:t>
      </w:r>
      <w:r>
        <w:rPr>
          <w:rFonts w:ascii="Times New Roman" w:hAnsi="Times New Roman" w:cs="Times New Roman"/>
          <w:sz w:val="14"/>
          <w:szCs w:val="14"/>
          <w:lang w:val="fr-FR"/>
        </w:rPr>
        <w:t>projets du secteur public mis en œuvre par des Agences/Institutions autonomes permanentes.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741D5"/>
    <w:multiLevelType w:val="hybridMultilevel"/>
    <w:tmpl w:val="7826E03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4D365360"/>
    <w:multiLevelType w:val="hybridMultilevel"/>
    <w:tmpl w:val="BA6677D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51D527D2"/>
    <w:multiLevelType w:val="hybridMultilevel"/>
    <w:tmpl w:val="A6709972"/>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5C84019F"/>
    <w:multiLevelType w:val="multilevel"/>
    <w:tmpl w:val="A8229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816238"/>
    <w:multiLevelType w:val="hybridMultilevel"/>
    <w:tmpl w:val="B75E3912"/>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15:restartNumberingAfterBreak="0">
    <w:nsid w:val="737D50A1"/>
    <w:multiLevelType w:val="hybridMultilevel"/>
    <w:tmpl w:val="2B8018D4"/>
    <w:lvl w:ilvl="0" w:tplc="58D69F3C">
      <w:start w:val="14"/>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9CA7E59"/>
    <w:multiLevelType w:val="hybridMultilevel"/>
    <w:tmpl w:val="CCFA2C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961375"/>
    <w:multiLevelType w:val="hybridMultilevel"/>
    <w:tmpl w:val="414A21F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7E054B7C"/>
    <w:multiLevelType w:val="hybridMultilevel"/>
    <w:tmpl w:val="30DA82C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1887447182">
    <w:abstractNumId w:val="6"/>
  </w:num>
  <w:num w:numId="2" w16cid:durableId="2055542179">
    <w:abstractNumId w:val="2"/>
  </w:num>
  <w:num w:numId="3" w16cid:durableId="975112476">
    <w:abstractNumId w:val="0"/>
  </w:num>
  <w:num w:numId="4" w16cid:durableId="633557337">
    <w:abstractNumId w:val="7"/>
  </w:num>
  <w:num w:numId="5" w16cid:durableId="1139688947">
    <w:abstractNumId w:val="1"/>
  </w:num>
  <w:num w:numId="6" w16cid:durableId="1559435097">
    <w:abstractNumId w:val="4"/>
  </w:num>
  <w:num w:numId="7" w16cid:durableId="539900060">
    <w:abstractNumId w:val="3"/>
  </w:num>
  <w:num w:numId="8" w16cid:durableId="261568281">
    <w:abstractNumId w:val="8"/>
  </w:num>
  <w:num w:numId="9" w16cid:durableId="3132948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833"/>
    <w:rsid w:val="000529B8"/>
    <w:rsid w:val="00090381"/>
    <w:rsid w:val="000A4F37"/>
    <w:rsid w:val="000B29BE"/>
    <w:rsid w:val="001069D8"/>
    <w:rsid w:val="001250E9"/>
    <w:rsid w:val="00125F63"/>
    <w:rsid w:val="00162144"/>
    <w:rsid w:val="0017498D"/>
    <w:rsid w:val="00177759"/>
    <w:rsid w:val="00181DDD"/>
    <w:rsid w:val="0018242A"/>
    <w:rsid w:val="001B0385"/>
    <w:rsid w:val="001D667C"/>
    <w:rsid w:val="001E4A12"/>
    <w:rsid w:val="00215833"/>
    <w:rsid w:val="00225509"/>
    <w:rsid w:val="00271D17"/>
    <w:rsid w:val="00275FBE"/>
    <w:rsid w:val="002D0D97"/>
    <w:rsid w:val="00352A9C"/>
    <w:rsid w:val="0036190C"/>
    <w:rsid w:val="00361E05"/>
    <w:rsid w:val="00364FD1"/>
    <w:rsid w:val="00376C39"/>
    <w:rsid w:val="003A3777"/>
    <w:rsid w:val="003F76CD"/>
    <w:rsid w:val="00492568"/>
    <w:rsid w:val="004E493D"/>
    <w:rsid w:val="004F2774"/>
    <w:rsid w:val="00520F63"/>
    <w:rsid w:val="00525319"/>
    <w:rsid w:val="00534F1D"/>
    <w:rsid w:val="00552D7A"/>
    <w:rsid w:val="00556A31"/>
    <w:rsid w:val="005938E9"/>
    <w:rsid w:val="005C0E3F"/>
    <w:rsid w:val="005C70F1"/>
    <w:rsid w:val="005E385F"/>
    <w:rsid w:val="00654632"/>
    <w:rsid w:val="00667EF3"/>
    <w:rsid w:val="0072081D"/>
    <w:rsid w:val="007852AD"/>
    <w:rsid w:val="007E3507"/>
    <w:rsid w:val="00866B26"/>
    <w:rsid w:val="00870660"/>
    <w:rsid w:val="00870F45"/>
    <w:rsid w:val="00891A95"/>
    <w:rsid w:val="008949DC"/>
    <w:rsid w:val="008A6F6E"/>
    <w:rsid w:val="00925E83"/>
    <w:rsid w:val="009368AC"/>
    <w:rsid w:val="0095203D"/>
    <w:rsid w:val="009618D5"/>
    <w:rsid w:val="009B2E8C"/>
    <w:rsid w:val="009B4413"/>
    <w:rsid w:val="009F231B"/>
    <w:rsid w:val="00A63EF4"/>
    <w:rsid w:val="00A8614E"/>
    <w:rsid w:val="00A92883"/>
    <w:rsid w:val="00AA38AF"/>
    <w:rsid w:val="00AA7FCA"/>
    <w:rsid w:val="00B0725C"/>
    <w:rsid w:val="00B21C7D"/>
    <w:rsid w:val="00B5232C"/>
    <w:rsid w:val="00B71A7B"/>
    <w:rsid w:val="00BA01AC"/>
    <w:rsid w:val="00BA7F59"/>
    <w:rsid w:val="00BC4AD3"/>
    <w:rsid w:val="00C17B90"/>
    <w:rsid w:val="00C24DF0"/>
    <w:rsid w:val="00CD2FA8"/>
    <w:rsid w:val="00D32376"/>
    <w:rsid w:val="00D4632C"/>
    <w:rsid w:val="00D82E43"/>
    <w:rsid w:val="00DB6D44"/>
    <w:rsid w:val="00DC6BC2"/>
    <w:rsid w:val="00DD55FA"/>
    <w:rsid w:val="00DE5B86"/>
    <w:rsid w:val="00E17E31"/>
    <w:rsid w:val="00E56396"/>
    <w:rsid w:val="00EA2131"/>
    <w:rsid w:val="00EA66DC"/>
    <w:rsid w:val="00EE0597"/>
    <w:rsid w:val="00F052F9"/>
    <w:rsid w:val="00F7527D"/>
    <w:rsid w:val="00F96111"/>
    <w:rsid w:val="00FB3CAE"/>
    <w:rsid w:val="00FF53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2C1EE"/>
  <w15:chartTrackingRefBased/>
  <w15:docId w15:val="{0E62F41B-486B-4E7F-94FF-03849F87D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158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158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1583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1583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1583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1583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1583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1583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1583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1583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1583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1583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1583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1583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1583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1583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1583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15833"/>
    <w:rPr>
      <w:rFonts w:eastAsiaTheme="majorEastAsia" w:cstheme="majorBidi"/>
      <w:color w:val="272727" w:themeColor="text1" w:themeTint="D8"/>
    </w:rPr>
  </w:style>
  <w:style w:type="paragraph" w:styleId="Titre">
    <w:name w:val="Title"/>
    <w:basedOn w:val="Normal"/>
    <w:next w:val="Normal"/>
    <w:link w:val="TitreCar"/>
    <w:uiPriority w:val="10"/>
    <w:qFormat/>
    <w:rsid w:val="002158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1583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1583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1583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15833"/>
    <w:pPr>
      <w:spacing w:before="160"/>
      <w:jc w:val="center"/>
    </w:pPr>
    <w:rPr>
      <w:i/>
      <w:iCs/>
      <w:color w:val="404040" w:themeColor="text1" w:themeTint="BF"/>
    </w:rPr>
  </w:style>
  <w:style w:type="character" w:customStyle="1" w:styleId="CitationCar">
    <w:name w:val="Citation Car"/>
    <w:basedOn w:val="Policepardfaut"/>
    <w:link w:val="Citation"/>
    <w:uiPriority w:val="29"/>
    <w:rsid w:val="00215833"/>
    <w:rPr>
      <w:i/>
      <w:iCs/>
      <w:color w:val="404040" w:themeColor="text1" w:themeTint="BF"/>
    </w:rPr>
  </w:style>
  <w:style w:type="paragraph" w:styleId="Paragraphedeliste">
    <w:name w:val="List Paragraph"/>
    <w:basedOn w:val="Normal"/>
    <w:uiPriority w:val="34"/>
    <w:qFormat/>
    <w:rsid w:val="00215833"/>
    <w:pPr>
      <w:ind w:left="720"/>
      <w:contextualSpacing/>
    </w:pPr>
  </w:style>
  <w:style w:type="character" w:styleId="Accentuationintense">
    <w:name w:val="Intense Emphasis"/>
    <w:basedOn w:val="Policepardfaut"/>
    <w:uiPriority w:val="21"/>
    <w:qFormat/>
    <w:rsid w:val="00215833"/>
    <w:rPr>
      <w:i/>
      <w:iCs/>
      <w:color w:val="0F4761" w:themeColor="accent1" w:themeShade="BF"/>
    </w:rPr>
  </w:style>
  <w:style w:type="paragraph" w:styleId="Citationintense">
    <w:name w:val="Intense Quote"/>
    <w:basedOn w:val="Normal"/>
    <w:next w:val="Normal"/>
    <w:link w:val="CitationintenseCar"/>
    <w:uiPriority w:val="30"/>
    <w:qFormat/>
    <w:rsid w:val="002158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15833"/>
    <w:rPr>
      <w:i/>
      <w:iCs/>
      <w:color w:val="0F4761" w:themeColor="accent1" w:themeShade="BF"/>
    </w:rPr>
  </w:style>
  <w:style w:type="character" w:styleId="Rfrenceintense">
    <w:name w:val="Intense Reference"/>
    <w:basedOn w:val="Policepardfaut"/>
    <w:uiPriority w:val="32"/>
    <w:qFormat/>
    <w:rsid w:val="00215833"/>
    <w:rPr>
      <w:b/>
      <w:bCs/>
      <w:smallCaps/>
      <w:color w:val="0F4761" w:themeColor="accent1" w:themeShade="BF"/>
      <w:spacing w:val="5"/>
    </w:rPr>
  </w:style>
  <w:style w:type="table" w:customStyle="1" w:styleId="Grilledutableau1">
    <w:name w:val="Grille du tableau1"/>
    <w:basedOn w:val="TableauNormal"/>
    <w:next w:val="Grilledutableau"/>
    <w:uiPriority w:val="39"/>
    <w:rsid w:val="00215833"/>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aliases w:val="single space,footnote text,FOOTNOTES,fn,f,ft,ADB,Char,Footnote Text Char1,Footnote Text Char Char,Footnote ak,Footnotes Char,Footnote ak Char,fn cafc,Footnotes Char Char,fn Char Char,ALTS FOOTNOTE Char"/>
    <w:basedOn w:val="Normal"/>
    <w:link w:val="NotedebasdepageCar1"/>
    <w:unhideWhenUsed/>
    <w:qFormat/>
    <w:rsid w:val="00215833"/>
    <w:pPr>
      <w:spacing w:after="0" w:line="240" w:lineRule="auto"/>
      <w:jc w:val="both"/>
    </w:pPr>
    <w:rPr>
      <w:rFonts w:ascii="Century Schoolbook" w:hAnsi="Century Schoolbook"/>
      <w:kern w:val="0"/>
      <w:sz w:val="20"/>
      <w:szCs w:val="20"/>
      <w:lang w:val="en-US"/>
      <w14:ligatures w14:val="none"/>
    </w:rPr>
  </w:style>
  <w:style w:type="character" w:customStyle="1" w:styleId="NotedebasdepageCar">
    <w:name w:val="Note de bas de page Car"/>
    <w:basedOn w:val="Policepardfaut"/>
    <w:uiPriority w:val="99"/>
    <w:semiHidden/>
    <w:rsid w:val="00215833"/>
    <w:rPr>
      <w:sz w:val="20"/>
      <w:szCs w:val="20"/>
    </w:rPr>
  </w:style>
  <w:style w:type="character" w:customStyle="1" w:styleId="NotedebasdepageCar1">
    <w:name w:val="Note de bas de page Car1"/>
    <w:aliases w:val="single space Car,footnote text Car,FOOTNOTES Car,fn Car,f Car,ft Car,ADB Car,Char Car,Footnote Text Char1 Car,Footnote Text Char Char Car,Footnote ak Car,Footnotes Char Car,Footnote ak Char Car,fn cafc Car,fn Char Char Car"/>
    <w:basedOn w:val="Policepardfaut"/>
    <w:link w:val="Notedebasdepage"/>
    <w:rsid w:val="00215833"/>
    <w:rPr>
      <w:rFonts w:ascii="Century Schoolbook" w:hAnsi="Century Schoolbook"/>
      <w:kern w:val="0"/>
      <w:sz w:val="20"/>
      <w:szCs w:val="20"/>
      <w:lang w:val="en-US"/>
      <w14:ligatures w14:val="none"/>
    </w:rPr>
  </w:style>
  <w:style w:type="character" w:styleId="Appelnotedebasdep">
    <w:name w:val="footnote reference"/>
    <w:aliases w:val="ftref Char Char Char,16 Point Char Char Char,Superscript 6 Point Char Char Char,Char Char Char Char Car Char Char Char Char,Char Char Char Char Car Char Char1 Char Char Char Char Char Char,Footnotes refss,Footnote Reference1,ftre"/>
    <w:basedOn w:val="Policepardfaut"/>
    <w:unhideWhenUsed/>
    <w:qFormat/>
    <w:rsid w:val="00215833"/>
    <w:rPr>
      <w:vertAlign w:val="superscript"/>
    </w:rPr>
  </w:style>
  <w:style w:type="table" w:styleId="Grilledutableau">
    <w:name w:val="Table Grid"/>
    <w:basedOn w:val="TableauNormal"/>
    <w:uiPriority w:val="39"/>
    <w:rsid w:val="00215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A92883"/>
    <w:pPr>
      <w:spacing w:after="0" w:line="240" w:lineRule="auto"/>
    </w:pPr>
  </w:style>
  <w:style w:type="paragraph" w:styleId="NormalWeb">
    <w:name w:val="Normal (Web)"/>
    <w:basedOn w:val="Normal"/>
    <w:uiPriority w:val="99"/>
    <w:semiHidden/>
    <w:unhideWhenUsed/>
    <w:rsid w:val="000B29BE"/>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Marquedecommentaire">
    <w:name w:val="annotation reference"/>
    <w:basedOn w:val="Policepardfaut"/>
    <w:uiPriority w:val="99"/>
    <w:semiHidden/>
    <w:unhideWhenUsed/>
    <w:rsid w:val="00DE5B86"/>
    <w:rPr>
      <w:sz w:val="16"/>
      <w:szCs w:val="16"/>
    </w:rPr>
  </w:style>
  <w:style w:type="paragraph" w:styleId="Commentaire">
    <w:name w:val="annotation text"/>
    <w:basedOn w:val="Normal"/>
    <w:link w:val="CommentaireCar"/>
    <w:uiPriority w:val="99"/>
    <w:semiHidden/>
    <w:unhideWhenUsed/>
    <w:rsid w:val="00DE5B86"/>
    <w:pPr>
      <w:spacing w:line="240" w:lineRule="auto"/>
    </w:pPr>
    <w:rPr>
      <w:sz w:val="20"/>
      <w:szCs w:val="20"/>
    </w:rPr>
  </w:style>
  <w:style w:type="character" w:customStyle="1" w:styleId="CommentaireCar">
    <w:name w:val="Commentaire Car"/>
    <w:basedOn w:val="Policepardfaut"/>
    <w:link w:val="Commentaire"/>
    <w:uiPriority w:val="99"/>
    <w:semiHidden/>
    <w:rsid w:val="00DE5B86"/>
    <w:rPr>
      <w:sz w:val="20"/>
      <w:szCs w:val="20"/>
    </w:rPr>
  </w:style>
  <w:style w:type="paragraph" w:styleId="Objetducommentaire">
    <w:name w:val="annotation subject"/>
    <w:basedOn w:val="Commentaire"/>
    <w:next w:val="Commentaire"/>
    <w:link w:val="ObjetducommentaireCar"/>
    <w:uiPriority w:val="99"/>
    <w:semiHidden/>
    <w:unhideWhenUsed/>
    <w:rsid w:val="00DE5B86"/>
    <w:rPr>
      <w:b/>
      <w:bCs/>
    </w:rPr>
  </w:style>
  <w:style w:type="character" w:customStyle="1" w:styleId="ObjetducommentaireCar">
    <w:name w:val="Objet du commentaire Car"/>
    <w:basedOn w:val="CommentaireCar"/>
    <w:link w:val="Objetducommentaire"/>
    <w:uiPriority w:val="99"/>
    <w:semiHidden/>
    <w:rsid w:val="00DE5B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3E9EE6DFE74F2E83270599822AFF48"/>
        <w:category>
          <w:name w:val="Général"/>
          <w:gallery w:val="placeholder"/>
        </w:category>
        <w:types>
          <w:type w:val="bbPlcHdr"/>
        </w:types>
        <w:behaviors>
          <w:behavior w:val="content"/>
        </w:behaviors>
        <w:guid w:val="{AB071D0A-766F-4301-94F1-EE6E2BFAAC74}"/>
      </w:docPartPr>
      <w:docPartBody>
        <w:p w:rsidR="00087A73" w:rsidRDefault="004A3375" w:rsidP="004A3375">
          <w:pPr>
            <w:pStyle w:val="4C3E9EE6DFE74F2E83270599822AFF48"/>
          </w:pPr>
          <w:r w:rsidRPr="002E5C66">
            <w:rPr>
              <w:color w:val="00B050"/>
              <w:sz w:val="18"/>
              <w:szCs w:val="18"/>
            </w:rPr>
            <w:t>Tapez le code SAP/TFMS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375"/>
    <w:rsid w:val="00087A73"/>
    <w:rsid w:val="00141139"/>
    <w:rsid w:val="002902C4"/>
    <w:rsid w:val="004A3375"/>
    <w:rsid w:val="00654632"/>
    <w:rsid w:val="008949DC"/>
    <w:rsid w:val="00F27F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4C3E9EE6DFE74F2E83270599822AFF48">
    <w:name w:val="4C3E9EE6DFE74F2E83270599822AFF48"/>
    <w:rsid w:val="004A33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BCDE3-F0FD-AD48-A9A0-9C87C4004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1122</Words>
  <Characters>6397</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MAMANE, CHAIBOU</dc:creator>
  <cp:keywords/>
  <dc:description/>
  <cp:lastModifiedBy>Boukar Allachi</cp:lastModifiedBy>
  <cp:revision>3</cp:revision>
  <dcterms:created xsi:type="dcterms:W3CDTF">2026-04-03T15:21:00Z</dcterms:created>
  <dcterms:modified xsi:type="dcterms:W3CDTF">2026-04-03T15:22:00Z</dcterms:modified>
</cp:coreProperties>
</file>